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tabs>
          <w:tab w:val="left" w:pos="900"/>
        </w:tabs>
        <w:adjustRightInd w:val="0"/>
        <w:snapToGrid w:val="0"/>
        <w:spacing w:after="0" w:line="560" w:lineRule="exact"/>
        <w:jc w:val="center"/>
        <w:rPr>
          <w:rFonts w:cs="Arial" w:asciiTheme="minorEastAsia" w:hAnsiTheme="minorEastAsia" w:eastAsiaTheme="minorEastAsia"/>
          <w:b/>
          <w:color w:val="000000" w:themeColor="text1"/>
          <w:sz w:val="48"/>
          <w:szCs w:val="48"/>
          <w14:textFill>
            <w14:solidFill>
              <w14:schemeClr w14:val="tx1"/>
            </w14:solidFill>
          </w14:textFill>
        </w:rPr>
      </w:pPr>
      <w:r>
        <w:rPr>
          <w:rFonts w:hint="eastAsia" w:cs="Arial" w:asciiTheme="minorEastAsia" w:hAnsiTheme="minorEastAsia" w:eastAsiaTheme="minorEastAsia"/>
          <w:b/>
          <w:color w:val="000000" w:themeColor="text1"/>
          <w:sz w:val="48"/>
          <w:szCs w:val="48"/>
          <w14:textFill>
            <w14:solidFill>
              <w14:schemeClr w14:val="tx1"/>
            </w14:solidFill>
          </w14:textFill>
        </w:rPr>
        <w:t>竞  价  清  单</w:t>
      </w:r>
    </w:p>
    <w:p>
      <w:pPr>
        <w:pStyle w:val="3"/>
        <w:tabs>
          <w:tab w:val="left" w:pos="900"/>
        </w:tabs>
        <w:autoSpaceDE w:val="0"/>
        <w:autoSpaceDN w:val="0"/>
        <w:adjustRightInd w:val="0"/>
        <w:snapToGrid w:val="0"/>
        <w:spacing w:after="0" w:line="240" w:lineRule="exact"/>
        <w:jc w:val="center"/>
        <w:rPr>
          <w:rFonts w:cs="Arial" w:asciiTheme="minorEastAsia" w:hAnsiTheme="minorEastAsia" w:eastAsiaTheme="minorEastAsia"/>
          <w:b/>
          <w:color w:val="000000" w:themeColor="text1"/>
          <w:szCs w:val="21"/>
          <w14:textFill>
            <w14:solidFill>
              <w14:schemeClr w14:val="tx1"/>
            </w14:solidFill>
          </w14:textFill>
        </w:rPr>
      </w:pPr>
      <w:r>
        <w:rPr>
          <w:rFonts w:hint="eastAsia" w:cs="Arial" w:asciiTheme="minorEastAsia" w:hAnsiTheme="minorEastAsia" w:eastAsiaTheme="minorEastAsia"/>
          <w:b/>
          <w:color w:val="000000" w:themeColor="text1"/>
          <w:szCs w:val="21"/>
          <w14:textFill>
            <w14:solidFill>
              <w14:schemeClr w14:val="tx1"/>
            </w14:solidFill>
          </w14:textFill>
        </w:rPr>
        <w:t>【2020年第四批保障房配套商业</w:t>
      </w:r>
      <w:r>
        <w:rPr>
          <w:rFonts w:hint="eastAsia" w:cs="Arial" w:asciiTheme="minorEastAsia" w:hAnsiTheme="minorEastAsia" w:eastAsiaTheme="minorEastAsia"/>
          <w:b/>
          <w:color w:val="000000" w:themeColor="text1"/>
          <w:szCs w:val="21"/>
          <w:lang w:val="en-US" w:eastAsia="zh-CN"/>
          <w14:textFill>
            <w14:solidFill>
              <w14:schemeClr w14:val="tx1"/>
            </w14:solidFill>
          </w14:textFill>
        </w:rPr>
        <w:t>第四次</w:t>
      </w:r>
      <w:r>
        <w:rPr>
          <w:rFonts w:hint="eastAsia" w:cs="Arial" w:asciiTheme="minorEastAsia" w:hAnsiTheme="minorEastAsia" w:eastAsiaTheme="minorEastAsia"/>
          <w:b/>
          <w:color w:val="000000" w:themeColor="text1"/>
          <w:szCs w:val="21"/>
          <w14:textFill>
            <w14:solidFill>
              <w14:schemeClr w14:val="tx1"/>
            </w14:solidFill>
          </w14:textFill>
        </w:rPr>
        <w:t>招租】</w:t>
      </w:r>
    </w:p>
    <w:tbl>
      <w:tblPr>
        <w:tblStyle w:val="7"/>
        <w:tblW w:w="104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93"/>
        <w:gridCol w:w="1362"/>
        <w:gridCol w:w="1906"/>
        <w:gridCol w:w="817"/>
        <w:gridCol w:w="817"/>
        <w:gridCol w:w="817"/>
        <w:gridCol w:w="817"/>
        <w:gridCol w:w="817"/>
        <w:gridCol w:w="1567"/>
        <w:gridCol w:w="11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393" w:type="dxa"/>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
                <w:color w:val="000000" w:themeColor="text1"/>
                <w:kern w:val="0"/>
                <w:sz w:val="18"/>
                <w:szCs w:val="21"/>
                <w:lang w:bidi="ar"/>
                <w14:textFill>
                  <w14:solidFill>
                    <w14:schemeClr w14:val="tx1"/>
                  </w14:solidFill>
                </w14:textFill>
              </w:rPr>
              <w:t>标的</w:t>
            </w:r>
          </w:p>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
                <w:color w:val="000000" w:themeColor="text1"/>
                <w:sz w:val="18"/>
                <w:szCs w:val="21"/>
                <w14:textFill>
                  <w14:solidFill>
                    <w14:schemeClr w14:val="tx1"/>
                  </w14:solidFill>
                </w14:textFill>
              </w:rPr>
            </w:pPr>
            <w:r>
              <w:rPr>
                <w:rFonts w:hint="eastAsia" w:cs="黑体" w:asciiTheme="minorEastAsia" w:hAnsiTheme="minorEastAsia" w:eastAsiaTheme="minorEastAsia"/>
                <w:b/>
                <w:color w:val="000000" w:themeColor="text1"/>
                <w:kern w:val="0"/>
                <w:sz w:val="18"/>
                <w:szCs w:val="21"/>
                <w:lang w:bidi="ar"/>
                <w14:textFill>
                  <w14:solidFill>
                    <w14:schemeClr w14:val="tx1"/>
                  </w14:solidFill>
                </w14:textFill>
              </w:rPr>
              <w:t>序号</w:t>
            </w:r>
          </w:p>
        </w:tc>
        <w:tc>
          <w:tcPr>
            <w:tcW w:w="1362" w:type="dxa"/>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
                <w:bCs/>
                <w:color w:val="000000" w:themeColor="text1"/>
                <w:kern w:val="0"/>
                <w:sz w:val="18"/>
                <w:szCs w:val="21"/>
                <w14:textFill>
                  <w14:solidFill>
                    <w14:schemeClr w14:val="tx1"/>
                  </w14:solidFill>
                </w14:textFill>
              </w:rPr>
              <w:t>项目名称</w:t>
            </w:r>
          </w:p>
        </w:tc>
        <w:tc>
          <w:tcPr>
            <w:tcW w:w="1906" w:type="dxa"/>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
                <w:bCs/>
                <w:color w:val="000000" w:themeColor="text1"/>
                <w:kern w:val="0"/>
                <w:sz w:val="18"/>
                <w:szCs w:val="21"/>
                <w14:textFill>
                  <w14:solidFill>
                    <w14:schemeClr w14:val="tx1"/>
                  </w14:solidFill>
                </w14:textFill>
              </w:rPr>
              <w:t>房屋坐落</w:t>
            </w:r>
          </w:p>
        </w:tc>
        <w:tc>
          <w:tcPr>
            <w:tcW w:w="817" w:type="dxa"/>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
                <w:color w:val="000000" w:themeColor="text1"/>
                <w:kern w:val="0"/>
                <w:sz w:val="18"/>
                <w:szCs w:val="21"/>
                <w:lang w:bidi="ar"/>
                <w14:textFill>
                  <w14:solidFill>
                    <w14:schemeClr w14:val="tx1"/>
                  </w14:solidFill>
                </w14:textFill>
              </w:rPr>
              <w:t>建筑面积</w:t>
            </w:r>
          </w:p>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
                <w:color w:val="000000" w:themeColor="text1"/>
                <w:sz w:val="18"/>
                <w:szCs w:val="21"/>
                <w14:textFill>
                  <w14:solidFill>
                    <w14:schemeClr w14:val="tx1"/>
                  </w14:solidFill>
                </w14:textFill>
              </w:rPr>
            </w:pPr>
            <w:r>
              <w:rPr>
                <w:rFonts w:hint="eastAsia" w:cs="黑体" w:asciiTheme="minorEastAsia" w:hAnsiTheme="minorEastAsia" w:eastAsiaTheme="minorEastAsia"/>
                <w:b/>
                <w:color w:val="000000" w:themeColor="text1"/>
                <w:kern w:val="0"/>
                <w:sz w:val="18"/>
                <w:szCs w:val="21"/>
                <w:lang w:bidi="ar"/>
                <w14:textFill>
                  <w14:solidFill>
                    <w14:schemeClr w14:val="tx1"/>
                  </w14:solidFill>
                </w14:textFill>
              </w:rPr>
              <w:t>(平方米)</w:t>
            </w:r>
          </w:p>
        </w:tc>
        <w:tc>
          <w:tcPr>
            <w:tcW w:w="817" w:type="dxa"/>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
                <w:color w:val="000000" w:themeColor="text1"/>
                <w:kern w:val="0"/>
                <w:sz w:val="18"/>
                <w:szCs w:val="21"/>
                <w:lang w:bidi="ar"/>
                <w14:textFill>
                  <w14:solidFill>
                    <w14:schemeClr w14:val="tx1"/>
                  </w14:solidFill>
                </w14:textFill>
              </w:rPr>
              <w:t>租金底价</w:t>
            </w:r>
          </w:p>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
                <w:color w:val="000000" w:themeColor="text1"/>
                <w:sz w:val="18"/>
                <w:szCs w:val="21"/>
                <w14:textFill>
                  <w14:solidFill>
                    <w14:schemeClr w14:val="tx1"/>
                  </w14:solidFill>
                </w14:textFill>
              </w:rPr>
            </w:pPr>
            <w:r>
              <w:rPr>
                <w:rFonts w:hint="eastAsia" w:cs="黑体" w:asciiTheme="minorEastAsia" w:hAnsiTheme="minorEastAsia" w:eastAsiaTheme="minorEastAsia"/>
                <w:b/>
                <w:color w:val="000000" w:themeColor="text1"/>
                <w:kern w:val="0"/>
                <w:sz w:val="18"/>
                <w:szCs w:val="21"/>
                <w:lang w:bidi="ar"/>
                <w14:textFill>
                  <w14:solidFill>
                    <w14:schemeClr w14:val="tx1"/>
                  </w14:solidFill>
                </w14:textFill>
              </w:rPr>
              <w:t>(元/月)</w:t>
            </w:r>
          </w:p>
        </w:tc>
        <w:tc>
          <w:tcPr>
            <w:tcW w:w="817" w:type="dxa"/>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
                <w:bCs/>
                <w:color w:val="000000" w:themeColor="text1"/>
                <w:kern w:val="0"/>
                <w:sz w:val="18"/>
                <w:szCs w:val="21"/>
                <w14:textFill>
                  <w14:solidFill>
                    <w14:schemeClr w14:val="tx1"/>
                  </w14:solidFill>
                </w14:textFill>
              </w:rPr>
              <w:t>保证金         (万元)</w:t>
            </w:r>
          </w:p>
        </w:tc>
        <w:tc>
          <w:tcPr>
            <w:tcW w:w="817" w:type="dxa"/>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
                <w:bCs/>
                <w:color w:val="000000" w:themeColor="text1"/>
                <w:kern w:val="0"/>
                <w:sz w:val="18"/>
                <w:szCs w:val="21"/>
                <w14:textFill>
                  <w14:solidFill>
                    <w14:schemeClr w14:val="tx1"/>
                  </w14:solidFill>
                </w14:textFill>
              </w:rPr>
              <w:t>加价幅度</w:t>
            </w:r>
          </w:p>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
                <w:bCs/>
                <w:color w:val="000000" w:themeColor="text1"/>
                <w:kern w:val="0"/>
                <w:sz w:val="18"/>
                <w:szCs w:val="21"/>
                <w14:textFill>
                  <w14:solidFill>
                    <w14:schemeClr w14:val="tx1"/>
                  </w14:solidFill>
                </w14:textFill>
              </w:rPr>
              <w:t>(元)</w:t>
            </w:r>
          </w:p>
        </w:tc>
        <w:tc>
          <w:tcPr>
            <w:tcW w:w="817" w:type="dxa"/>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
                <w:color w:val="000000" w:themeColor="text1"/>
                <w:kern w:val="0"/>
                <w:sz w:val="18"/>
                <w:szCs w:val="21"/>
                <w14:textFill>
                  <w14:solidFill>
                    <w14:schemeClr w14:val="tx1"/>
                  </w14:solidFill>
                </w14:textFill>
              </w:rPr>
            </w:pPr>
            <w:r>
              <w:rPr>
                <w:rFonts w:hint="eastAsia" w:cs="宋体" w:asciiTheme="minorEastAsia" w:hAnsiTheme="minorEastAsia" w:eastAsiaTheme="minorEastAsia"/>
                <w:b/>
                <w:color w:val="000000" w:themeColor="text1"/>
                <w:kern w:val="0"/>
                <w:sz w:val="18"/>
                <w:szCs w:val="21"/>
                <w14:textFill>
                  <w14:solidFill>
                    <w14:schemeClr w14:val="tx1"/>
                  </w14:solidFill>
                </w14:textFill>
              </w:rPr>
              <w:t>基本报价</w:t>
            </w:r>
          </w:p>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
                <w:color w:val="000000" w:themeColor="text1"/>
                <w:kern w:val="0"/>
                <w:sz w:val="18"/>
                <w:szCs w:val="21"/>
                <w14:textFill>
                  <w14:solidFill>
                    <w14:schemeClr w14:val="tx1"/>
                  </w14:solidFill>
                </w14:textFill>
              </w:rPr>
              <w:t>单位</w:t>
            </w:r>
          </w:p>
        </w:tc>
        <w:tc>
          <w:tcPr>
            <w:tcW w:w="1567" w:type="dxa"/>
            <w:vAlign w:val="center"/>
          </w:tcPr>
          <w:p>
            <w:pPr>
              <w:widowControl/>
              <w:autoSpaceDE w:val="0"/>
              <w:autoSpaceDN w:val="0"/>
              <w:adjustRightInd w:val="0"/>
              <w:snapToGrid w:val="0"/>
              <w:spacing w:line="200" w:lineRule="exact"/>
              <w:jc w:val="center"/>
              <w:textAlignment w:val="center"/>
              <w:rPr>
                <w:rFonts w:cs="黑体" w:asciiTheme="minorEastAsia" w:hAnsiTheme="minorEastAsia" w:eastAsiaTheme="minorEastAsia"/>
                <w:b/>
                <w:color w:val="000000" w:themeColor="text1"/>
                <w:kern w:val="0"/>
                <w:sz w:val="18"/>
                <w:szCs w:val="21"/>
                <w:lang w:bidi="ar"/>
                <w14:textFill>
                  <w14:solidFill>
                    <w14:schemeClr w14:val="tx1"/>
                  </w14:solidFill>
                </w14:textFill>
              </w:rPr>
            </w:pPr>
            <w:r>
              <w:rPr>
                <w:rFonts w:hint="eastAsia" w:cs="宋体" w:asciiTheme="minorEastAsia" w:hAnsiTheme="minorEastAsia" w:eastAsiaTheme="minorEastAsia"/>
                <w:b/>
                <w:bCs/>
                <w:color w:val="000000" w:themeColor="text1"/>
                <w:kern w:val="0"/>
                <w:sz w:val="18"/>
                <w:szCs w:val="21"/>
                <w14:textFill>
                  <w14:solidFill>
                    <w14:schemeClr w14:val="tx1"/>
                  </w14:solidFill>
                </w14:textFill>
              </w:rPr>
              <w:t>租赁业态</w:t>
            </w:r>
          </w:p>
        </w:tc>
        <w:tc>
          <w:tcPr>
            <w:tcW w:w="1117" w:type="dxa"/>
            <w:vAlign w:val="center"/>
          </w:tcPr>
          <w:p>
            <w:pPr>
              <w:widowControl/>
              <w:autoSpaceDE w:val="0"/>
              <w:autoSpaceDN w:val="0"/>
              <w:adjustRightInd w:val="0"/>
              <w:snapToGrid w:val="0"/>
              <w:spacing w:line="200" w:lineRule="exact"/>
              <w:jc w:val="center"/>
              <w:textAlignment w:val="center"/>
              <w:rPr>
                <w:rFonts w:cs="宋体" w:asciiTheme="minorEastAsia" w:hAnsiTheme="minorEastAsia" w:eastAsiaTheme="minorEastAsia"/>
                <w:b/>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
                <w:bCs/>
                <w:color w:val="000000" w:themeColor="text1"/>
                <w:kern w:val="0"/>
                <w:sz w:val="18"/>
                <w:szCs w:val="21"/>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祥和一里13号103单元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256.33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3332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100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restart"/>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不限（不得使用明火，不得产生油烟或噪音扰民，不得从事废品回收）</w:t>
            </w:r>
          </w:p>
        </w:tc>
        <w:tc>
          <w:tcPr>
            <w:tcW w:w="1117" w:type="dxa"/>
            <w:vMerge w:val="restart"/>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店面门口有规划预留充电桩（其中祥平保障房地铁社区一期祥和一里13号103单元渗水）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祥和一里13号104单元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309.93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3719</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100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3</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祥和一里13号105单元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309.69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3716</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100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4</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祥和一里13号106单元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263.95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3695</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100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5</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祥和一里15号103单元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173.41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2601</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6</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祥和一里15号104单元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286.18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4007</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4</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150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7</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祥和一里15号105单元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322.39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3869</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100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8</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祥和一里15号106单元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324.89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3899</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100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9</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祥和一里15号107单元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287.72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3453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100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10</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祥和一里15号108单元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181.30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2357</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11</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祥和一里31号104单元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345.13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4142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4</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150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12</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祥和一里31号106单元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320.98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3852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100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13</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祥和一里42号104单元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192.47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2695</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14</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祥和一里42号106单元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200.14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2602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15</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祥和一里42号111单元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200.23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2403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16</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祥和一里42号113单元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192.49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2310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17</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祥和一里43号103单元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159.87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2078</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18</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祥和一里43号105单元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188.65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2641</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19</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祥和一里43号107单元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198.86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2784</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20</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祥和一里43号109单元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164.70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2306</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21</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祥和一里43号110单元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164.70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2306</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22</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祥和一里43号112单元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198.86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2386</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idowControl/>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23</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祥和一里43号114单元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188.86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2266</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24</w:t>
            </w:r>
          </w:p>
        </w:tc>
        <w:tc>
          <w:tcPr>
            <w:tcW w:w="1362"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祥平保障房地铁社区一期</w:t>
            </w:r>
          </w:p>
        </w:tc>
        <w:tc>
          <w:tcPr>
            <w:tcW w:w="1906"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祥和一里43号115单元</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 xml:space="preserve">162.57 </w:t>
            </w:r>
          </w:p>
        </w:tc>
        <w:tc>
          <w:tcPr>
            <w:tcW w:w="817" w:type="dxa"/>
            <w:tcBorders>
              <w:top w:val="nil"/>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autoSpaceDE w:val="0"/>
              <w:autoSpaceDN w:val="0"/>
              <w:adjustRightInd w:val="0"/>
              <w:snapToGrid w:val="0"/>
              <w:spacing w:line="200" w:lineRule="exact"/>
              <w:ind w:left="-53" w:leftChars="-25" w:right="-53" w:rightChars="-25"/>
              <w:jc w:val="center"/>
              <w:textAlignment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hint="eastAsia" w:cs="黑体" w:asciiTheme="minorEastAsia" w:hAnsiTheme="minorEastAsia" w:eastAsiaTheme="minorEastAsia"/>
                <w:bCs/>
                <w:color w:val="000000" w:themeColor="text1"/>
                <w:kern w:val="0"/>
                <w:sz w:val="18"/>
                <w:szCs w:val="21"/>
                <w:lang w:bidi="ar"/>
                <w14:textFill>
                  <w14:solidFill>
                    <w14:schemeClr w14:val="tx1"/>
                  </w14:solidFill>
                </w14:textFill>
              </w:rPr>
              <w:t>2113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w:t>
            </w:r>
          </w:p>
        </w:tc>
        <w:tc>
          <w:tcPr>
            <w:tcW w:w="817" w:type="dxa"/>
            <w:tcBorders>
              <w:top w:val="single" w:color="auto" w:sz="4" w:space="0"/>
              <w:left w:val="single" w:color="auto" w:sz="4" w:space="0"/>
              <w:bottom w:val="single" w:color="auto" w:sz="4" w:space="0"/>
              <w:right w:val="single" w:color="auto" w:sz="4" w:space="0"/>
            </w:tcBorders>
            <w:vAlign w:val="center"/>
          </w:tcPr>
          <w:p>
            <w:pPr>
              <w:widowControl/>
              <w:tabs>
                <w:tab w:val="left" w:pos="0"/>
              </w:tabs>
              <w:kinsoku w:val="0"/>
              <w:overflowPunct w:val="0"/>
              <w:autoSpaceDE w:val="0"/>
              <w:autoSpaceDN w:val="0"/>
              <w:adjustRightInd w:val="0"/>
              <w:snapToGrid w:val="0"/>
              <w:spacing w:line="200" w:lineRule="exact"/>
              <w:ind w:left="-50" w:leftChars="-25" w:right="-53" w:rightChars="-25" w:hanging="3"/>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80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adjustRightInd w:val="0"/>
              <w:snapToGrid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keepNext w:val="0"/>
              <w:keepLines w:val="0"/>
              <w:pageBreakBefore w:val="0"/>
              <w:wordWrap/>
              <w:topLinePunct w:val="0"/>
              <w:autoSpaceDE w:val="0"/>
              <w:autoSpaceDN w:val="0"/>
              <w:bidi w:val="0"/>
              <w:adjustRightInd w:val="0"/>
              <w:snapToGrid w:val="0"/>
              <w:spacing w:line="200" w:lineRule="exact"/>
              <w:jc w:val="center"/>
              <w:textAlignment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25</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19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黎安一里3-101、3-201</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 xml:space="preserve">1517.57 </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15584</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15</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350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tcBorders>
              <w:left w:val="single" w:color="auto" w:sz="4" w:space="0"/>
              <w:right w:val="single" w:color="auto" w:sz="4" w:space="0"/>
            </w:tcBorders>
            <w:shd w:val="clear" w:color="auto" w:fill="auto"/>
            <w:vAlign w:val="center"/>
          </w:tcPr>
          <w:p>
            <w:pPr>
              <w:keepNext w:val="0"/>
              <w:keepLines w:val="0"/>
              <w:pageBreakBefore w:val="0"/>
              <w:widowControl/>
              <w:kinsoku w:val="0"/>
              <w:wordWrap/>
              <w:overflowPunct w:val="0"/>
              <w:topLinePunct w:val="0"/>
              <w:autoSpaceDE w:val="0"/>
              <w:autoSpaceDN w:val="0"/>
              <w:bidi w:val="0"/>
              <w:adjustRightInd/>
              <w:snapToGrid/>
              <w:spacing w:line="200" w:lineRule="exact"/>
              <w:ind w:left="0" w:leftChars="0" w:right="0" w:rightChars="0"/>
              <w:jc w:val="center"/>
              <w:textAlignment w:val="auto"/>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生鲜超市</w:t>
            </w:r>
          </w:p>
        </w:tc>
        <w:tc>
          <w:tcPr>
            <w:tcW w:w="1117" w:type="dxa"/>
            <w:vMerge w:val="restart"/>
            <w:tcBorders>
              <w:left w:val="single" w:color="auto" w:sz="4" w:space="0"/>
              <w:right w:val="single" w:color="auto" w:sz="4" w:space="0"/>
            </w:tcBorders>
            <w:shd w:val="clear" w:color="auto" w:fill="auto"/>
            <w:vAlign w:val="center"/>
          </w:tcPr>
          <w:p>
            <w:pPr>
              <w:keepNext w:val="0"/>
              <w:keepLines w:val="0"/>
              <w:pageBreakBefore w:val="0"/>
              <w:widowControl/>
              <w:kinsoku w:val="0"/>
              <w:wordWrap/>
              <w:overflowPunct w:val="0"/>
              <w:topLinePunct w:val="0"/>
              <w:autoSpaceDE w:val="0"/>
              <w:autoSpaceDN w:val="0"/>
              <w:bidi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26</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19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黎安一里8-104</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 xml:space="preserve">55.95 </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1119</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50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restart"/>
            <w:tcBorders>
              <w:left w:val="single" w:color="auto" w:sz="4" w:space="0"/>
              <w:right w:val="single" w:color="auto" w:sz="4" w:space="0"/>
            </w:tcBorders>
            <w:shd w:val="clear" w:color="auto" w:fill="auto"/>
            <w:vAlign w:val="center"/>
          </w:tcPr>
          <w:p>
            <w:pPr>
              <w:keepNext w:val="0"/>
              <w:keepLines w:val="0"/>
              <w:pageBreakBefore w:val="0"/>
              <w:widowControl/>
              <w:kinsoku w:val="0"/>
              <w:wordWrap/>
              <w:overflowPunct w:val="0"/>
              <w:topLinePunct w:val="0"/>
              <w:autoSpaceDE w:val="0"/>
              <w:autoSpaceDN w:val="0"/>
              <w:bidi w:val="0"/>
              <w:adjustRightInd/>
              <w:snapToGrid/>
              <w:spacing w:line="200" w:lineRule="exact"/>
              <w:ind w:left="0" w:leftChars="0" w:right="0" w:rightChars="0"/>
              <w:jc w:val="center"/>
              <w:textAlignment w:val="auto"/>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不限（不得使用明火，不得产生油烟或噪音扰民不得从事废品回收）</w:t>
            </w:r>
          </w:p>
        </w:tc>
        <w:tc>
          <w:tcPr>
            <w:tcW w:w="1117" w:type="dxa"/>
            <w:vMerge w:val="continue"/>
            <w:tcBorders>
              <w:left w:val="single" w:color="auto" w:sz="4" w:space="0"/>
              <w:right w:val="single" w:color="auto" w:sz="4" w:space="0"/>
            </w:tcBorders>
            <w:shd w:val="clear" w:color="auto" w:fill="auto"/>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27</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19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黎安一里8-105</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 xml:space="preserve">46.65 </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933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0.5</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30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val="0"/>
              <w:wordWrap/>
              <w:overflowPunct w:val="0"/>
              <w:topLinePunct w:val="0"/>
              <w:autoSpaceDE w:val="0"/>
              <w:autoSpaceDN w:val="0"/>
              <w:bidi w:val="0"/>
              <w:adjustRightInd/>
              <w:snapToGrid/>
              <w:spacing w:line="200" w:lineRule="exact"/>
              <w:ind w:left="0" w:leftChars="0" w:right="0" w:rightChars="0"/>
              <w:jc w:val="center"/>
              <w:textAlignment w:val="auto"/>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28</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19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黎安一里8-106</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 xml:space="preserve">48.89 </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978</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0.5</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30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val="0"/>
              <w:wordWrap/>
              <w:overflowPunct w:val="0"/>
              <w:topLinePunct w:val="0"/>
              <w:autoSpaceDE w:val="0"/>
              <w:autoSpaceDN w:val="0"/>
              <w:bidi w:val="0"/>
              <w:adjustRightInd/>
              <w:snapToGrid/>
              <w:spacing w:line="200" w:lineRule="exact"/>
              <w:ind w:left="0" w:leftChars="0" w:right="0" w:rightChars="0"/>
              <w:jc w:val="center"/>
              <w:textAlignment w:val="auto"/>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29</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19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黎安一里8-109</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 xml:space="preserve">91.10 </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1093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50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restart"/>
            <w:tcBorders>
              <w:left w:val="single" w:color="auto" w:sz="4" w:space="0"/>
              <w:right w:val="single" w:color="auto" w:sz="4" w:space="0"/>
            </w:tcBorders>
            <w:shd w:val="clear" w:color="auto" w:fill="auto"/>
            <w:vAlign w:val="center"/>
          </w:tcPr>
          <w:p>
            <w:pPr>
              <w:keepNext w:val="0"/>
              <w:keepLines w:val="0"/>
              <w:pageBreakBefore w:val="0"/>
              <w:widowControl/>
              <w:kinsoku w:val="0"/>
              <w:wordWrap/>
              <w:overflowPunct w:val="0"/>
              <w:topLinePunct w:val="0"/>
              <w:autoSpaceDE w:val="0"/>
              <w:autoSpaceDN w:val="0"/>
              <w:bidi w:val="0"/>
              <w:adjustRightInd/>
              <w:snapToGrid/>
              <w:spacing w:line="200" w:lineRule="exact"/>
              <w:ind w:left="0" w:leftChars="0" w:right="0" w:rightChars="0"/>
              <w:jc w:val="center"/>
              <w:textAlignment w:val="auto"/>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餐饮（不会产生噪音扰民及油烟扰民的餐饮行业，不得使用明火）</w:t>
            </w:r>
          </w:p>
        </w:tc>
        <w:tc>
          <w:tcPr>
            <w:tcW w:w="1117" w:type="dxa"/>
            <w:vMerge w:val="continue"/>
            <w:tcBorders>
              <w:left w:val="single" w:color="auto" w:sz="4" w:space="0"/>
              <w:right w:val="single" w:color="auto" w:sz="4" w:space="0"/>
            </w:tcBorders>
            <w:shd w:val="clear" w:color="auto" w:fill="auto"/>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30</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19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黎安一里8-110</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 xml:space="preserve">91.10 </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1093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50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jc w:val="center"/>
        </w:trPr>
        <w:tc>
          <w:tcPr>
            <w:tcW w:w="393"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31</w:t>
            </w:r>
          </w:p>
        </w:tc>
        <w:tc>
          <w:tcPr>
            <w:tcW w:w="1362"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1906"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黎安一里8-111</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 xml:space="preserve">91.10 </w:t>
            </w:r>
          </w:p>
        </w:tc>
        <w:tc>
          <w:tcPr>
            <w:tcW w:w="817" w:type="dxa"/>
            <w:tcBorders>
              <w:top w:val="single" w:color="auto" w:sz="4" w:space="0"/>
              <w:left w:val="single" w:color="auto" w:sz="4" w:space="0"/>
              <w:bottom w:val="single" w:color="auto" w:sz="4" w:space="0"/>
              <w:right w:val="single" w:color="auto" w:sz="4" w:space="0"/>
            </w:tcBorders>
            <w:shd w:val="clear" w:color="auto" w:fill="auto"/>
            <w:tcMar>
              <w:top w:w="15" w:type="dxa"/>
              <w:left w:w="15" w:type="dxa"/>
              <w:right w:w="15" w:type="dxa"/>
            </w:tcMar>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1093</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1</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50</w:t>
            </w:r>
          </w:p>
        </w:tc>
        <w:tc>
          <w:tcPr>
            <w:tcW w:w="817" w:type="dxa"/>
            <w:tcBorders>
              <w:top w:val="single" w:color="auto" w:sz="4" w:space="0"/>
              <w:left w:val="single" w:color="auto" w:sz="4" w:space="0"/>
              <w:bottom w:val="single" w:color="auto" w:sz="4" w:space="0"/>
              <w:right w:val="single" w:color="auto" w:sz="4" w:space="0"/>
            </w:tcBorders>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拾元</w:t>
            </w:r>
          </w:p>
        </w:tc>
        <w:tc>
          <w:tcPr>
            <w:tcW w:w="1567" w:type="dxa"/>
            <w:vMerge w:val="continue"/>
            <w:tcBorders>
              <w:left w:val="single" w:color="auto" w:sz="4" w:space="0"/>
              <w:right w:val="single" w:color="auto" w:sz="4" w:space="0"/>
            </w:tcBorders>
            <w:shd w:val="clear" w:color="auto" w:fill="auto"/>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c>
          <w:tcPr>
            <w:tcW w:w="1117" w:type="dxa"/>
            <w:vMerge w:val="continue"/>
            <w:tcBorders>
              <w:left w:val="single" w:color="auto" w:sz="4" w:space="0"/>
              <w:right w:val="single" w:color="auto" w:sz="4" w:space="0"/>
            </w:tcBorders>
            <w:shd w:val="clear" w:color="auto" w:fill="auto"/>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p>
        </w:tc>
      </w:tr>
    </w:tbl>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p>
    <w:p>
      <w:pPr>
        <w:widowControl/>
        <w:kinsoku w:val="0"/>
        <w:overflowPunct w:val="0"/>
        <w:autoSpaceDE w:val="0"/>
        <w:autoSpaceDN w:val="0"/>
        <w:spacing w:line="200" w:lineRule="exact"/>
        <w:ind w:left="-53" w:leftChars="-25" w:right="-53" w:rightChars="-25"/>
        <w:rPr>
          <w:rFonts w:asciiTheme="minorEastAsia" w:hAnsiTheme="minorEastAsia" w:eastAsiaTheme="minorEastAsia"/>
          <w:b/>
          <w:color w:val="000000" w:themeColor="text1"/>
          <w:sz w:val="18"/>
          <w:szCs w:val="18"/>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备注：</w:t>
      </w:r>
    </w:p>
    <w:p>
      <w:pPr>
        <w:autoSpaceDE w:val="0"/>
        <w:autoSpaceDN w:val="0"/>
        <w:rPr>
          <w:rFonts w:cs="黑体" w:asciiTheme="minorEastAsia" w:hAnsiTheme="minorEastAsia" w:eastAsiaTheme="minorEastAsia"/>
          <w:b/>
          <w:color w:val="000000" w:themeColor="text1"/>
          <w:kern w:val="0"/>
          <w:sz w:val="18"/>
          <w:szCs w:val="18"/>
          <w:lang w:bidi="ar"/>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1、租赁期限</w:t>
      </w:r>
      <w:r>
        <w:rPr>
          <w:rFonts w:cs="黑体" w:asciiTheme="minorEastAsia" w:hAnsiTheme="minorEastAsia" w:eastAsiaTheme="minorEastAsia"/>
          <w:b/>
          <w:color w:val="000000" w:themeColor="text1"/>
          <w:kern w:val="0"/>
          <w:sz w:val="18"/>
          <w:szCs w:val="18"/>
          <w:lang w:bidi="ar"/>
          <w14:textFill>
            <w14:solidFill>
              <w14:schemeClr w14:val="tx1"/>
            </w14:solidFill>
          </w14:textFill>
        </w:rPr>
        <w:t>:</w:t>
      </w:r>
    </w:p>
    <w:p>
      <w:pPr>
        <w:autoSpaceDE w:val="0"/>
        <w:autoSpaceDN w:val="0"/>
        <w:rPr>
          <w:rFonts w:asciiTheme="minorEastAsia" w:hAnsiTheme="minorEastAsia" w:eastAsiaTheme="minorEastAsia"/>
          <w:color w:val="000000" w:themeColor="text1"/>
          <w:sz w:val="18"/>
          <w:szCs w:val="18"/>
          <w14:textFill>
            <w14:solidFill>
              <w14:schemeClr w14:val="tx1"/>
            </w14:solidFill>
          </w14:textFill>
        </w:rPr>
      </w:pPr>
      <w:r>
        <w:rPr>
          <w:rFonts w:hint="eastAsia" w:asciiTheme="minorEastAsia" w:hAnsiTheme="minorEastAsia" w:eastAsiaTheme="minorEastAsia"/>
          <w:color w:val="000000" w:themeColor="text1"/>
          <w:sz w:val="18"/>
          <w:szCs w:val="18"/>
          <w14:textFill>
            <w14:solidFill>
              <w14:schemeClr w14:val="tx1"/>
            </w14:solidFill>
          </w14:textFill>
        </w:rPr>
        <w:t>所有标的租赁期限均为五年，不提供免费装修期；</w:t>
      </w:r>
    </w:p>
    <w:p>
      <w:pPr>
        <w:autoSpaceDE w:val="0"/>
        <w:autoSpaceDN w:val="0"/>
        <w:rPr>
          <w:rFonts w:cs="黑体" w:asciiTheme="minorEastAsia" w:hAnsiTheme="minorEastAsia" w:eastAsiaTheme="minorEastAsia"/>
          <w:b/>
          <w:color w:val="000000" w:themeColor="text1"/>
          <w:kern w:val="0"/>
          <w:sz w:val="18"/>
          <w:szCs w:val="18"/>
          <w:lang w:bidi="ar"/>
          <w14:textFill>
            <w14:solidFill>
              <w14:schemeClr w14:val="tx1"/>
            </w14:solidFill>
          </w14:textFill>
        </w:rPr>
      </w:pPr>
      <w:r>
        <w:rPr>
          <w:rFonts w:hint="eastAsia" w:cs="宋体" w:asciiTheme="minorEastAsia" w:hAnsiTheme="minorEastAsia" w:eastAsiaTheme="minorEastAsia"/>
          <w:b/>
          <w:color w:val="000000" w:themeColor="text1"/>
          <w:kern w:val="0"/>
          <w:sz w:val="18"/>
          <w:szCs w:val="18"/>
          <w14:textFill>
            <w14:solidFill>
              <w14:schemeClr w14:val="tx1"/>
            </w14:solidFill>
          </w14:textFill>
        </w:rPr>
        <w:t>2、</w:t>
      </w:r>
      <w:r>
        <w:rPr>
          <w:rFonts w:hint="eastAsia" w:cs="黑体" w:asciiTheme="minorEastAsia" w:hAnsiTheme="minorEastAsia" w:eastAsiaTheme="minorEastAsia"/>
          <w:b/>
          <w:color w:val="000000" w:themeColor="text1"/>
          <w:kern w:val="0"/>
          <w:sz w:val="18"/>
          <w:szCs w:val="18"/>
          <w:lang w:bidi="ar"/>
          <w14:textFill>
            <w14:solidFill>
              <w14:schemeClr w14:val="tx1"/>
            </w14:solidFill>
          </w14:textFill>
        </w:rPr>
        <w:t>租金收取方式</w:t>
      </w:r>
      <w:r>
        <w:rPr>
          <w:rFonts w:cs="黑体" w:asciiTheme="minorEastAsia" w:hAnsiTheme="minorEastAsia" w:eastAsiaTheme="minorEastAsia"/>
          <w:b/>
          <w:color w:val="000000" w:themeColor="text1"/>
          <w:kern w:val="0"/>
          <w:sz w:val="18"/>
          <w:szCs w:val="18"/>
          <w:lang w:bidi="ar"/>
          <w14:textFill>
            <w14:solidFill>
              <w14:schemeClr w14:val="tx1"/>
            </w14:solidFill>
          </w14:textFill>
        </w:rPr>
        <w:t>:</w:t>
      </w:r>
    </w:p>
    <w:p>
      <w:pPr>
        <w:autoSpaceDE w:val="0"/>
        <w:autoSpaceDN w:val="0"/>
        <w:rPr>
          <w:rFonts w:cs="宋体" w:asciiTheme="minorEastAsia" w:hAnsiTheme="minorEastAsia" w:eastAsiaTheme="minorEastAsia"/>
          <w:color w:val="000000" w:themeColor="text1"/>
          <w:kern w:val="0"/>
          <w:sz w:val="18"/>
          <w:szCs w:val="18"/>
          <w14:textFill>
            <w14:solidFill>
              <w14:schemeClr w14:val="tx1"/>
            </w14:solidFill>
          </w14:textFill>
        </w:rPr>
      </w:pPr>
      <w:r>
        <w:rPr>
          <w:rFonts w:hint="eastAsia" w:cs="宋体" w:asciiTheme="minorEastAsia" w:hAnsiTheme="minorEastAsia" w:eastAsiaTheme="minorEastAsia"/>
          <w:color w:val="000000" w:themeColor="text1"/>
          <w:kern w:val="0"/>
          <w:sz w:val="18"/>
          <w:szCs w:val="18"/>
          <w14:textFill>
            <w14:solidFill>
              <w14:schemeClr w14:val="tx1"/>
            </w14:solidFill>
          </w14:textFill>
        </w:rPr>
        <w:t>自第二个计租年度起，租金在实际中标价的基础上逐年递增5%；</w:t>
      </w:r>
    </w:p>
    <w:p>
      <w:pPr>
        <w:autoSpaceDE w:val="0"/>
        <w:autoSpaceDN w:val="0"/>
        <w:jc w:val="left"/>
        <w:rPr>
          <w:rFonts w:cs="宋体" w:asciiTheme="minorEastAsia" w:hAnsiTheme="minorEastAsia" w:eastAsiaTheme="minorEastAsia"/>
          <w:b/>
          <w:color w:val="000000" w:themeColor="text1"/>
          <w:kern w:val="0"/>
          <w:sz w:val="18"/>
          <w:szCs w:val="18"/>
          <w14:textFill>
            <w14:solidFill>
              <w14:schemeClr w14:val="tx1"/>
            </w14:solidFill>
          </w14:textFill>
        </w:rPr>
      </w:pPr>
      <w:r>
        <w:rPr>
          <w:rFonts w:cs="宋体" w:asciiTheme="minorEastAsia" w:hAnsiTheme="minorEastAsia" w:eastAsiaTheme="minorEastAsia"/>
          <w:b/>
          <w:color w:val="000000" w:themeColor="text1"/>
          <w:kern w:val="0"/>
          <w:sz w:val="18"/>
          <w:szCs w:val="18"/>
          <w14:textFill>
            <w14:solidFill>
              <w14:schemeClr w14:val="tx1"/>
            </w14:solidFill>
          </w14:textFill>
        </w:rPr>
        <w:t>3</w:t>
      </w:r>
      <w:r>
        <w:rPr>
          <w:rFonts w:hint="eastAsia" w:cs="宋体" w:asciiTheme="minorEastAsia" w:hAnsiTheme="minorEastAsia" w:eastAsiaTheme="minorEastAsia"/>
          <w:b/>
          <w:color w:val="000000" w:themeColor="text1"/>
          <w:kern w:val="0"/>
          <w:sz w:val="18"/>
          <w:szCs w:val="18"/>
          <w14:textFill>
            <w14:solidFill>
              <w14:schemeClr w14:val="tx1"/>
            </w14:solidFill>
          </w14:textFill>
        </w:rPr>
        <w:t>、特定标的:</w:t>
      </w:r>
    </w:p>
    <w:p>
      <w:pPr>
        <w:autoSpaceDE w:val="0"/>
        <w:autoSpaceDN w:val="0"/>
        <w:jc w:val="left"/>
        <w:rPr>
          <w:rFonts w:cs="宋体" w:asciiTheme="minorEastAsia" w:hAnsiTheme="minorEastAsia" w:eastAsiaTheme="minorEastAsia"/>
          <w:color w:val="000000" w:themeColor="text1"/>
          <w:kern w:val="0"/>
          <w:sz w:val="18"/>
          <w:szCs w:val="18"/>
          <w14:textFill>
            <w14:solidFill>
              <w14:schemeClr w14:val="tx1"/>
            </w14:solidFill>
          </w14:textFill>
        </w:rPr>
      </w:pPr>
      <w:r>
        <w:rPr>
          <w:rFonts w:hint="eastAsia" w:cs="宋体" w:asciiTheme="minorEastAsia" w:hAnsiTheme="minorEastAsia" w:eastAsiaTheme="minorEastAsia"/>
          <w:color w:val="000000" w:themeColor="text1"/>
          <w:kern w:val="0"/>
          <w:sz w:val="18"/>
          <w:szCs w:val="18"/>
          <w14:textFill>
            <w14:solidFill>
              <w14:schemeClr w14:val="tx1"/>
            </w14:solidFill>
          </w14:textFill>
        </w:rPr>
        <w:t>租赁业态一栏设定为生鲜超市、餐饮(不得使用明火，不得产生油烟或噪音扰民)的为特定标的，招租条件设定及竞价人资格设定详见《特定标的条件说明》。</w:t>
      </w:r>
    </w:p>
    <w:p>
      <w:pPr>
        <w:autoSpaceDE w:val="0"/>
        <w:autoSpaceDN w:val="0"/>
        <w:jc w:val="left"/>
        <w:rPr>
          <w:rFonts w:cs="宋体" w:asciiTheme="minorEastAsia" w:hAnsiTheme="minorEastAsia" w:eastAsiaTheme="minorEastAsia"/>
          <w:b/>
          <w:bCs/>
          <w:color w:val="000000" w:themeColor="text1"/>
          <w:kern w:val="0"/>
          <w:sz w:val="18"/>
          <w:szCs w:val="18"/>
          <w14:textFill>
            <w14:solidFill>
              <w14:schemeClr w14:val="tx1"/>
            </w14:solidFill>
          </w14:textFill>
        </w:rPr>
      </w:pPr>
      <w:r>
        <w:rPr>
          <w:rFonts w:hint="eastAsia" w:cs="宋体" w:asciiTheme="minorEastAsia" w:hAnsiTheme="minorEastAsia" w:eastAsiaTheme="minorEastAsia"/>
          <w:b/>
          <w:bCs/>
          <w:color w:val="000000" w:themeColor="text1"/>
          <w:kern w:val="0"/>
          <w:sz w:val="18"/>
          <w:szCs w:val="18"/>
          <w14:textFill>
            <w14:solidFill>
              <w14:schemeClr w14:val="tx1"/>
            </w14:solidFill>
          </w14:textFill>
        </w:rPr>
        <w:t>4.友情提示：</w:t>
      </w:r>
    </w:p>
    <w:p>
      <w:pPr>
        <w:autoSpaceDE w:val="0"/>
        <w:autoSpaceDN w:val="0"/>
        <w:jc w:val="left"/>
        <w:rPr>
          <w:rFonts w:hint="eastAsia" w:cs="宋体" w:asciiTheme="minorEastAsia" w:hAnsiTheme="minorEastAsia" w:eastAsiaTheme="minorEastAsia"/>
          <w:color w:val="000000" w:themeColor="text1"/>
          <w:kern w:val="0"/>
          <w:szCs w:val="21"/>
          <w:lang w:eastAsia="zh-CN"/>
          <w14:textFill>
            <w14:solidFill>
              <w14:schemeClr w14:val="tx1"/>
            </w14:solidFill>
          </w14:textFill>
        </w:rPr>
        <w:sectPr>
          <w:pgSz w:w="11906" w:h="16838"/>
          <w:pgMar w:top="1587" w:right="907" w:bottom="346" w:left="907" w:header="851" w:footer="992" w:gutter="0"/>
          <w:cols w:space="425" w:num="1"/>
          <w:docGrid w:type="lines" w:linePitch="312" w:charSpace="0"/>
        </w:sectPr>
      </w:pPr>
      <w:r>
        <w:rPr>
          <w:rFonts w:hint="eastAsia" w:cs="宋体" w:asciiTheme="minorEastAsia" w:hAnsiTheme="minorEastAsia" w:eastAsiaTheme="minorEastAsia"/>
          <w:color w:val="000000" w:themeColor="text1"/>
          <w:kern w:val="0"/>
          <w:sz w:val="18"/>
          <w:szCs w:val="18"/>
          <w14:textFill>
            <w14:solidFill>
              <w14:schemeClr w14:val="tx1"/>
            </w14:solidFill>
          </w14:textFill>
        </w:rPr>
        <w:t>祥平保障房地铁社区在每个商业店面前距离5米处预留有电动车充电桩</w:t>
      </w:r>
      <w:r>
        <w:rPr>
          <w:rFonts w:hint="eastAsia" w:cs="宋体" w:asciiTheme="minorEastAsia" w:hAnsiTheme="minorEastAsia" w:eastAsiaTheme="minorEastAsia"/>
          <w:color w:val="000000" w:themeColor="text1"/>
          <w:kern w:val="0"/>
          <w:sz w:val="18"/>
          <w:szCs w:val="18"/>
          <w:lang w:eastAsia="zh-CN"/>
          <w14:textFill>
            <w14:solidFill>
              <w14:schemeClr w14:val="tx1"/>
            </w14:solidFill>
          </w14:textFill>
        </w:rPr>
        <w:t>。</w:t>
      </w:r>
      <w:bookmarkStart w:id="0" w:name="_GoBack"/>
      <w:bookmarkEnd w:id="0"/>
    </w:p>
    <w:p>
      <w:pPr>
        <w:jc w:val="center"/>
        <w:rPr>
          <w:rFonts w:cs="宋体" w:asciiTheme="minorEastAsia" w:hAnsiTheme="minorEastAsia" w:eastAsiaTheme="minorEastAsia"/>
          <w:b/>
          <w:bCs/>
          <w:color w:val="000000" w:themeColor="text1"/>
          <w:kern w:val="0"/>
          <w:szCs w:val="21"/>
          <w14:textFill>
            <w14:solidFill>
              <w14:schemeClr w14:val="tx1"/>
            </w14:solidFill>
          </w14:textFill>
        </w:rPr>
      </w:pPr>
      <w:r>
        <w:rPr>
          <w:rFonts w:hint="eastAsia" w:cs="宋体" w:asciiTheme="minorEastAsia" w:hAnsiTheme="minorEastAsia" w:eastAsiaTheme="minorEastAsia"/>
          <w:b/>
          <w:bCs/>
          <w:color w:val="000000" w:themeColor="text1"/>
          <w:kern w:val="0"/>
          <w:szCs w:val="21"/>
          <w14:textFill>
            <w14:solidFill>
              <w14:schemeClr w14:val="tx1"/>
            </w14:solidFill>
          </w14:textFill>
        </w:rPr>
        <w:t>《特定标的条件说明》</w:t>
      </w:r>
    </w:p>
    <w:tbl>
      <w:tblPr>
        <w:tblStyle w:val="8"/>
        <w:tblW w:w="139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
        <w:gridCol w:w="1413"/>
        <w:gridCol w:w="2551"/>
        <w:gridCol w:w="3686"/>
        <w:gridCol w:w="57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67" w:type="dxa"/>
            <w:vAlign w:val="center"/>
          </w:tcPr>
          <w:p>
            <w:pPr>
              <w:widowControl/>
              <w:autoSpaceDE w:val="0"/>
              <w:autoSpaceDN w:val="0"/>
              <w:adjustRightInd w:val="0"/>
              <w:snapToGrid w:val="0"/>
              <w:spacing w:line="240" w:lineRule="exact"/>
              <w:ind w:left="-105" w:leftChars="-50" w:right="-105" w:rightChars="-50"/>
              <w:jc w:val="center"/>
              <w:textAlignment w:val="center"/>
              <w:rPr>
                <w:rFonts w:cs="黑体" w:asciiTheme="minorEastAsia" w:hAnsiTheme="minorEastAsia" w:eastAsiaTheme="minorEastAsia"/>
                <w:b/>
                <w:color w:val="000000" w:themeColor="text1"/>
                <w:kern w:val="0"/>
                <w:sz w:val="18"/>
                <w:szCs w:val="18"/>
                <w:lang w:bidi="ar"/>
                <w14:textFill>
                  <w14:solidFill>
                    <w14:schemeClr w14:val="tx1"/>
                  </w14:solidFill>
                </w14:textFill>
              </w:rPr>
            </w:pPr>
            <w:r>
              <w:rPr>
                <w:rFonts w:hint="eastAsia" w:cs="黑体" w:asciiTheme="minorEastAsia" w:hAnsiTheme="minorEastAsia" w:eastAsiaTheme="minorEastAsia"/>
                <w:b/>
                <w:color w:val="000000" w:themeColor="text1"/>
                <w:kern w:val="0"/>
                <w:sz w:val="18"/>
                <w:szCs w:val="18"/>
                <w:lang w:bidi="ar"/>
                <w14:textFill>
                  <w14:solidFill>
                    <w14:schemeClr w14:val="tx1"/>
                  </w14:solidFill>
                </w14:textFill>
              </w:rPr>
              <w:t>标的</w:t>
            </w:r>
          </w:p>
          <w:p>
            <w:pPr>
              <w:widowControl/>
              <w:autoSpaceDE w:val="0"/>
              <w:autoSpaceDN w:val="0"/>
              <w:adjustRightInd w:val="0"/>
              <w:snapToGrid w:val="0"/>
              <w:spacing w:line="240" w:lineRule="exact"/>
              <w:ind w:left="-105" w:leftChars="-50" w:right="-105" w:rightChars="-50"/>
              <w:jc w:val="center"/>
              <w:textAlignment w:val="center"/>
              <w:rPr>
                <w:rFonts w:cs="黑体" w:asciiTheme="minorEastAsia" w:hAnsiTheme="minorEastAsia" w:eastAsiaTheme="minorEastAsia"/>
                <w:b/>
                <w:color w:val="000000" w:themeColor="text1"/>
                <w:sz w:val="18"/>
                <w:szCs w:val="18"/>
                <w14:textFill>
                  <w14:solidFill>
                    <w14:schemeClr w14:val="tx1"/>
                  </w14:solidFill>
                </w14:textFill>
              </w:rPr>
            </w:pPr>
            <w:r>
              <w:rPr>
                <w:rFonts w:hint="eastAsia" w:cs="黑体" w:asciiTheme="minorEastAsia" w:hAnsiTheme="minorEastAsia" w:eastAsiaTheme="minorEastAsia"/>
                <w:b/>
                <w:color w:val="000000" w:themeColor="text1"/>
                <w:kern w:val="0"/>
                <w:sz w:val="18"/>
                <w:szCs w:val="18"/>
                <w:lang w:bidi="ar"/>
                <w14:textFill>
                  <w14:solidFill>
                    <w14:schemeClr w14:val="tx1"/>
                  </w14:solidFill>
                </w14:textFill>
              </w:rPr>
              <w:t>序号</w:t>
            </w:r>
          </w:p>
        </w:tc>
        <w:tc>
          <w:tcPr>
            <w:tcW w:w="1413" w:type="dxa"/>
            <w:vAlign w:val="center"/>
          </w:tcPr>
          <w:p>
            <w:pPr>
              <w:widowControl/>
              <w:kinsoku w:val="0"/>
              <w:overflowPunct w:val="0"/>
              <w:autoSpaceDE w:val="0"/>
              <w:autoSpaceDN w:val="0"/>
              <w:adjustRightInd w:val="0"/>
              <w:snapToGrid w:val="0"/>
              <w:spacing w:line="240" w:lineRule="exact"/>
              <w:ind w:left="-105" w:leftChars="-50" w:right="-105" w:rightChars="-50"/>
              <w:jc w:val="center"/>
              <w:rPr>
                <w:rFonts w:cs="宋体" w:asciiTheme="minorEastAsia" w:hAnsiTheme="minorEastAsia" w:eastAsiaTheme="minorEastAsia"/>
                <w:b/>
                <w:bCs/>
                <w:color w:val="000000" w:themeColor="text1"/>
                <w:kern w:val="0"/>
                <w:sz w:val="18"/>
                <w:szCs w:val="18"/>
                <w14:textFill>
                  <w14:solidFill>
                    <w14:schemeClr w14:val="tx1"/>
                  </w14:solidFill>
                </w14:textFill>
              </w:rPr>
            </w:pPr>
            <w:r>
              <w:rPr>
                <w:rFonts w:hint="eastAsia" w:cs="宋体" w:asciiTheme="minorEastAsia" w:hAnsiTheme="minorEastAsia" w:eastAsiaTheme="minorEastAsia"/>
                <w:b/>
                <w:bCs/>
                <w:color w:val="000000" w:themeColor="text1"/>
                <w:kern w:val="0"/>
                <w:sz w:val="18"/>
                <w:szCs w:val="21"/>
                <w14:textFill>
                  <w14:solidFill>
                    <w14:schemeClr w14:val="tx1"/>
                  </w14:solidFill>
                </w14:textFill>
              </w:rPr>
              <w:t>项目名称</w:t>
            </w:r>
          </w:p>
        </w:tc>
        <w:tc>
          <w:tcPr>
            <w:tcW w:w="2551" w:type="dxa"/>
            <w:vAlign w:val="center"/>
          </w:tcPr>
          <w:p>
            <w:pPr>
              <w:widowControl/>
              <w:kinsoku w:val="0"/>
              <w:overflowPunct w:val="0"/>
              <w:autoSpaceDE w:val="0"/>
              <w:autoSpaceDN w:val="0"/>
              <w:adjustRightInd w:val="0"/>
              <w:snapToGrid w:val="0"/>
              <w:spacing w:line="240" w:lineRule="exact"/>
              <w:ind w:left="-105" w:leftChars="-50" w:right="-105" w:rightChars="-50"/>
              <w:jc w:val="center"/>
              <w:rPr>
                <w:rFonts w:cs="宋体" w:asciiTheme="minorEastAsia" w:hAnsiTheme="minorEastAsia" w:eastAsiaTheme="minorEastAsia"/>
                <w:b/>
                <w:bCs/>
                <w:color w:val="000000" w:themeColor="text1"/>
                <w:kern w:val="0"/>
                <w:sz w:val="18"/>
                <w:szCs w:val="18"/>
                <w14:textFill>
                  <w14:solidFill>
                    <w14:schemeClr w14:val="tx1"/>
                  </w14:solidFill>
                </w14:textFill>
              </w:rPr>
            </w:pPr>
            <w:r>
              <w:rPr>
                <w:rFonts w:hint="eastAsia" w:cs="宋体" w:asciiTheme="minorEastAsia" w:hAnsiTheme="minorEastAsia" w:eastAsiaTheme="minorEastAsia"/>
                <w:b/>
                <w:bCs/>
                <w:color w:val="000000" w:themeColor="text1"/>
                <w:kern w:val="0"/>
                <w:sz w:val="18"/>
                <w:szCs w:val="21"/>
                <w14:textFill>
                  <w14:solidFill>
                    <w14:schemeClr w14:val="tx1"/>
                  </w14:solidFill>
                </w14:textFill>
              </w:rPr>
              <w:t>房屋坐落</w:t>
            </w:r>
          </w:p>
        </w:tc>
        <w:tc>
          <w:tcPr>
            <w:tcW w:w="3686" w:type="dxa"/>
            <w:vAlign w:val="center"/>
          </w:tcPr>
          <w:p>
            <w:pPr>
              <w:autoSpaceDE w:val="0"/>
              <w:autoSpaceDN w:val="0"/>
              <w:adjustRightInd w:val="0"/>
              <w:snapToGrid w:val="0"/>
              <w:spacing w:line="240" w:lineRule="exact"/>
              <w:ind w:left="-50" w:right="63" w:rightChars="30"/>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招租条件设定</w:t>
            </w:r>
          </w:p>
        </w:tc>
        <w:tc>
          <w:tcPr>
            <w:tcW w:w="5749" w:type="dxa"/>
            <w:vAlign w:val="center"/>
          </w:tcPr>
          <w:p>
            <w:pPr>
              <w:autoSpaceDE w:val="0"/>
              <w:autoSpaceDN w:val="0"/>
              <w:adjustRightInd w:val="0"/>
              <w:snapToGrid w:val="0"/>
              <w:spacing w:line="240" w:lineRule="exact"/>
              <w:ind w:left="-50" w:right="36" w:rightChars="17"/>
              <w:jc w:val="center"/>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
                <w:color w:val="000000" w:themeColor="text1"/>
                <w:sz w:val="18"/>
                <w:szCs w:val="18"/>
                <w14:textFill>
                  <w14:solidFill>
                    <w14:schemeClr w14:val="tx1"/>
                  </w14:solidFill>
                </w14:textFill>
              </w:rPr>
              <w:t>竞价人资格设定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67" w:type="dxa"/>
            <w:vAlign w:val="center"/>
          </w:tcPr>
          <w:p>
            <w:pPr>
              <w:widowControl/>
              <w:kinsoku w:val="0"/>
              <w:overflowPunct w:val="0"/>
              <w:autoSpaceDE w:val="0"/>
              <w:autoSpaceDN w:val="0"/>
              <w:spacing w:line="200" w:lineRule="exact"/>
              <w:ind w:left="-53" w:leftChars="-25" w:right="-53" w:rightChars="-25"/>
              <w:jc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25</w:t>
            </w:r>
          </w:p>
        </w:tc>
        <w:tc>
          <w:tcPr>
            <w:tcW w:w="1413" w:type="dxa"/>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2551" w:type="dxa"/>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kern w:val="0"/>
                <w:sz w:val="18"/>
                <w:szCs w:val="21"/>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黎安一里3-101、3-201</w:t>
            </w:r>
          </w:p>
        </w:tc>
        <w:tc>
          <w:tcPr>
            <w:tcW w:w="3686" w:type="dxa"/>
            <w:vAlign w:val="center"/>
          </w:tcPr>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(1)租赁年限：5年；</w:t>
            </w:r>
          </w:p>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(2)租金收取方式：自第二个计租年度起，租金在实际中标价的基础上逐年递增5%；</w:t>
            </w:r>
          </w:p>
          <w:p>
            <w:pPr>
              <w:autoSpaceDE w:val="0"/>
              <w:autoSpaceDN w:val="0"/>
              <w:adjustRightInd w:val="0"/>
              <w:snapToGrid w:val="0"/>
              <w:spacing w:line="240" w:lineRule="exact"/>
              <w:ind w:left="-50" w:right="63" w:rightChars="30"/>
              <w:jc w:val="left"/>
              <w:rPr>
                <w:rFonts w:asciiTheme="minorEastAsia" w:hAnsiTheme="minorEastAsia" w:eastAsiaTheme="minorEastAsia"/>
                <w:b/>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(3)租赁业态：生鲜超市</w:t>
            </w:r>
          </w:p>
        </w:tc>
        <w:tc>
          <w:tcPr>
            <w:tcW w:w="5749" w:type="dxa"/>
            <w:vAlign w:val="center"/>
          </w:tcPr>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r>
              <w:rPr>
                <w:rFonts w:asciiTheme="minorEastAsia" w:hAnsiTheme="minorEastAsia" w:eastAsiaTheme="minorEastAsia"/>
                <w:bCs/>
                <w:color w:val="000000" w:themeColor="text1"/>
                <w:sz w:val="18"/>
                <w:szCs w:val="18"/>
                <w14:textFill>
                  <w14:solidFill>
                    <w14:schemeClr w14:val="tx1"/>
                  </w14:solidFill>
                </w14:textFill>
              </w:rPr>
              <w:t>(</w:t>
            </w:r>
            <w:r>
              <w:rPr>
                <w:rFonts w:hint="eastAsia" w:asciiTheme="minorEastAsia" w:hAnsiTheme="minorEastAsia" w:eastAsiaTheme="minorEastAsia"/>
                <w:bCs/>
                <w:color w:val="000000" w:themeColor="text1"/>
                <w:sz w:val="18"/>
                <w:szCs w:val="18"/>
                <w14:textFill>
                  <w14:solidFill>
                    <w14:schemeClr w14:val="tx1"/>
                  </w14:solidFill>
                </w14:textFill>
              </w:rPr>
              <w:t>1）本标的竞价人必须为经工商行政管理部门核准登记并正常年检的企业法人；</w:t>
            </w:r>
          </w:p>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（2）无违法经营行为及违约记录，无一切与企业经营以及竞价人法定代表人个人征信相关的不良记录。</w:t>
            </w:r>
          </w:p>
          <w:p>
            <w:pPr>
              <w:autoSpaceDE w:val="0"/>
              <w:autoSpaceDN w:val="0"/>
              <w:adjustRightInd w:val="0"/>
              <w:snapToGrid w:val="0"/>
              <w:spacing w:line="240" w:lineRule="exact"/>
              <w:ind w:left="-50" w:right="63" w:rightChars="30"/>
              <w:jc w:val="center"/>
              <w:rPr>
                <w:rFonts w:asciiTheme="minorEastAsia" w:hAnsiTheme="minorEastAsia" w:eastAsiaTheme="minorEastAsia"/>
                <w:b/>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67" w:type="dxa"/>
            <w:vAlign w:val="center"/>
          </w:tcPr>
          <w:p>
            <w:pPr>
              <w:widowControl/>
              <w:kinsoku w:val="0"/>
              <w:overflowPunct w:val="0"/>
              <w:autoSpaceDE w:val="0"/>
              <w:autoSpaceDN w:val="0"/>
              <w:spacing w:line="200" w:lineRule="exact"/>
              <w:ind w:left="-53" w:leftChars="-25" w:right="-53" w:rightChars="-25"/>
              <w:jc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29</w:t>
            </w:r>
          </w:p>
        </w:tc>
        <w:tc>
          <w:tcPr>
            <w:tcW w:w="1413" w:type="dxa"/>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2551" w:type="dxa"/>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黎安一里8-109</w:t>
            </w:r>
          </w:p>
        </w:tc>
        <w:tc>
          <w:tcPr>
            <w:tcW w:w="3686" w:type="dxa"/>
            <w:vAlign w:val="center"/>
          </w:tcPr>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(1)租赁年限：5年；</w:t>
            </w:r>
          </w:p>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(2)租金收取方式：自第二个计租年度起，租金在实际中标价的基础上逐年递增5%；</w:t>
            </w:r>
          </w:p>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(3)租赁业态：餐饮（不会产生噪音扰民及油烟扰民的餐饮行业，不得使用明火）</w:t>
            </w:r>
          </w:p>
          <w:p>
            <w:pPr>
              <w:autoSpaceDE w:val="0"/>
              <w:autoSpaceDN w:val="0"/>
              <w:adjustRightInd w:val="0"/>
              <w:snapToGrid w:val="0"/>
              <w:spacing w:line="240" w:lineRule="exact"/>
              <w:ind w:left="-50" w:right="63" w:rightChars="30"/>
              <w:jc w:val="left"/>
              <w:rPr>
                <w:rFonts w:asciiTheme="minorEastAsia" w:hAnsiTheme="minorEastAsia" w:eastAsiaTheme="minorEastAsia"/>
                <w:b/>
                <w:color w:val="000000" w:themeColor="text1"/>
                <w:sz w:val="18"/>
                <w:szCs w:val="18"/>
                <w14:textFill>
                  <w14:solidFill>
                    <w14:schemeClr w14:val="tx1"/>
                  </w14:solidFill>
                </w14:textFill>
              </w:rPr>
            </w:pPr>
          </w:p>
        </w:tc>
        <w:tc>
          <w:tcPr>
            <w:tcW w:w="5749" w:type="dxa"/>
            <w:vAlign w:val="center"/>
          </w:tcPr>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（1）竞标人必须是具有完全民事行为能力的自然人，以及依法设立的法人和其他组织；</w:t>
            </w:r>
          </w:p>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（2）资信良好，不得为失信被执行人及失信被执行人的法定代表人、主要负责人、实际控制人、影响债务履行的直接责任人员。</w:t>
            </w:r>
          </w:p>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67" w:type="dxa"/>
            <w:vAlign w:val="center"/>
          </w:tcPr>
          <w:p>
            <w:pPr>
              <w:widowControl/>
              <w:kinsoku w:val="0"/>
              <w:overflowPunct w:val="0"/>
              <w:autoSpaceDE w:val="0"/>
              <w:autoSpaceDN w:val="0"/>
              <w:spacing w:line="200" w:lineRule="exact"/>
              <w:ind w:left="-53" w:leftChars="-25" w:right="-53" w:rightChars="-25"/>
              <w:jc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30</w:t>
            </w:r>
          </w:p>
        </w:tc>
        <w:tc>
          <w:tcPr>
            <w:tcW w:w="1413" w:type="dxa"/>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2551" w:type="dxa"/>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黎安一里8-110</w:t>
            </w:r>
          </w:p>
        </w:tc>
        <w:tc>
          <w:tcPr>
            <w:tcW w:w="3686" w:type="dxa"/>
            <w:vAlign w:val="center"/>
          </w:tcPr>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((1)租赁年限：5年；</w:t>
            </w:r>
          </w:p>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(2)租金收取方式：自第二个计租年度起，租金在实际中标价的基础上逐年递增5%；</w:t>
            </w:r>
          </w:p>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(3)租赁业态：餐饮（不会产生噪音扰民及油烟扰民的餐饮行业，不得使用明火）</w:t>
            </w:r>
          </w:p>
          <w:p>
            <w:pPr>
              <w:autoSpaceDE w:val="0"/>
              <w:autoSpaceDN w:val="0"/>
              <w:adjustRightInd w:val="0"/>
              <w:snapToGrid w:val="0"/>
              <w:spacing w:line="240" w:lineRule="exact"/>
              <w:ind w:left="-50" w:right="63" w:rightChars="30"/>
              <w:jc w:val="left"/>
              <w:rPr>
                <w:rFonts w:asciiTheme="minorEastAsia" w:hAnsiTheme="minorEastAsia" w:eastAsiaTheme="minorEastAsia"/>
                <w:b/>
                <w:color w:val="000000" w:themeColor="text1"/>
                <w:sz w:val="18"/>
                <w:szCs w:val="18"/>
                <w14:textFill>
                  <w14:solidFill>
                    <w14:schemeClr w14:val="tx1"/>
                  </w14:solidFill>
                </w14:textFill>
              </w:rPr>
            </w:pPr>
          </w:p>
        </w:tc>
        <w:tc>
          <w:tcPr>
            <w:tcW w:w="5749" w:type="dxa"/>
            <w:vAlign w:val="center"/>
          </w:tcPr>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（1）竞标人必须是具有完全民事行为能力的自然人，以及依法设立的法人和其他组织；</w:t>
            </w:r>
          </w:p>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（2）资信良好，不得为失信被执行人及失信被执行人的法定代表人、主要负责人、实际控制人、影响债务履行的直接责任人员。</w:t>
            </w:r>
          </w:p>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567" w:type="dxa"/>
            <w:vAlign w:val="center"/>
          </w:tcPr>
          <w:p>
            <w:pPr>
              <w:widowControl/>
              <w:kinsoku w:val="0"/>
              <w:overflowPunct w:val="0"/>
              <w:autoSpaceDE w:val="0"/>
              <w:autoSpaceDN w:val="0"/>
              <w:spacing w:line="200" w:lineRule="exact"/>
              <w:ind w:left="-53" w:leftChars="-25" w:right="-53" w:rightChars="-25"/>
              <w:jc w:val="center"/>
              <w:rPr>
                <w:rFonts w:cs="黑体" w:asciiTheme="minorEastAsia" w:hAnsiTheme="minorEastAsia" w:eastAsiaTheme="minorEastAsia"/>
                <w:bCs/>
                <w:color w:val="000000" w:themeColor="text1"/>
                <w:kern w:val="0"/>
                <w:sz w:val="18"/>
                <w:szCs w:val="21"/>
                <w:lang w:bidi="ar"/>
                <w14:textFill>
                  <w14:solidFill>
                    <w14:schemeClr w14:val="tx1"/>
                  </w14:solidFill>
                </w14:textFill>
              </w:rPr>
            </w:pPr>
            <w:r>
              <w:rPr>
                <w:rFonts w:cs="宋体" w:asciiTheme="minorEastAsia" w:hAnsiTheme="minorEastAsia" w:eastAsiaTheme="minorEastAsia"/>
                <w:bCs/>
                <w:color w:val="000000" w:themeColor="text1"/>
                <w:kern w:val="0"/>
                <w:sz w:val="18"/>
                <w:szCs w:val="21"/>
                <w14:textFill>
                  <w14:solidFill>
                    <w14:schemeClr w14:val="tx1"/>
                  </w14:solidFill>
                </w14:textFill>
              </w:rPr>
              <w:t>31</w:t>
            </w:r>
          </w:p>
        </w:tc>
        <w:tc>
          <w:tcPr>
            <w:tcW w:w="1413" w:type="dxa"/>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黎安居住区</w:t>
            </w:r>
          </w:p>
        </w:tc>
        <w:tc>
          <w:tcPr>
            <w:tcW w:w="2551" w:type="dxa"/>
            <w:vAlign w:val="center"/>
          </w:tcPr>
          <w:p>
            <w:pPr>
              <w:widowControl/>
              <w:kinsoku w:val="0"/>
              <w:overflowPunct w:val="0"/>
              <w:autoSpaceDE w:val="0"/>
              <w:autoSpaceDN w:val="0"/>
              <w:spacing w:line="200" w:lineRule="exact"/>
              <w:ind w:left="-53" w:leftChars="-25" w:right="-53" w:rightChars="-25"/>
              <w:jc w:val="center"/>
              <w:rPr>
                <w:rFonts w:cs="宋体" w:asciiTheme="minorEastAsia" w:hAnsiTheme="minorEastAsia" w:eastAsiaTheme="minorEastAsia"/>
                <w:bCs/>
                <w:color w:val="000000" w:themeColor="text1"/>
                <w:kern w:val="0"/>
                <w:sz w:val="18"/>
                <w:szCs w:val="21"/>
                <w14:textFill>
                  <w14:solidFill>
                    <w14:schemeClr w14:val="tx1"/>
                  </w14:solidFill>
                </w14:textFill>
              </w:rPr>
            </w:pPr>
            <w:r>
              <w:rPr>
                <w:rFonts w:hint="eastAsia" w:cs="宋体" w:asciiTheme="minorEastAsia" w:hAnsiTheme="minorEastAsia" w:eastAsiaTheme="minorEastAsia"/>
                <w:bCs/>
                <w:color w:val="000000" w:themeColor="text1"/>
                <w:kern w:val="0"/>
                <w:sz w:val="18"/>
                <w:szCs w:val="21"/>
                <w14:textFill>
                  <w14:solidFill>
                    <w14:schemeClr w14:val="tx1"/>
                  </w14:solidFill>
                </w14:textFill>
              </w:rPr>
              <w:t>黎安一里8-111</w:t>
            </w:r>
          </w:p>
        </w:tc>
        <w:tc>
          <w:tcPr>
            <w:tcW w:w="3686" w:type="dxa"/>
            <w:vAlign w:val="center"/>
          </w:tcPr>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((1)租赁年限：5年；</w:t>
            </w:r>
          </w:p>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(2)租金收取方式：自第二个计租年度起，租金在实际中标价的基础上逐年递增5%；</w:t>
            </w:r>
          </w:p>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(3)租赁业态：餐饮（不会产生噪音扰民及油烟扰民的餐饮行业，不得使用明火）</w:t>
            </w:r>
          </w:p>
          <w:p>
            <w:pPr>
              <w:autoSpaceDE w:val="0"/>
              <w:autoSpaceDN w:val="0"/>
              <w:adjustRightInd w:val="0"/>
              <w:snapToGrid w:val="0"/>
              <w:spacing w:line="240" w:lineRule="exact"/>
              <w:ind w:left="-105" w:leftChars="-50" w:right="-105" w:rightChars="-50"/>
              <w:jc w:val="left"/>
              <w:rPr>
                <w:rFonts w:asciiTheme="minorEastAsia" w:hAnsiTheme="minorEastAsia" w:eastAsiaTheme="minorEastAsia"/>
                <w:bCs/>
                <w:color w:val="000000" w:themeColor="text1"/>
                <w:sz w:val="18"/>
                <w:szCs w:val="18"/>
                <w14:textFill>
                  <w14:solidFill>
                    <w14:schemeClr w14:val="tx1"/>
                  </w14:solidFill>
                </w14:textFill>
              </w:rPr>
            </w:pPr>
          </w:p>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p>
        </w:tc>
        <w:tc>
          <w:tcPr>
            <w:tcW w:w="5749" w:type="dxa"/>
            <w:vAlign w:val="center"/>
          </w:tcPr>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（1）竞标人必须是具有完全民事行为能力的自然人，以及依法设立的法人和其他组织；</w:t>
            </w:r>
          </w:p>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r>
              <w:rPr>
                <w:rFonts w:hint="eastAsia" w:asciiTheme="minorEastAsia" w:hAnsiTheme="minorEastAsia" w:eastAsiaTheme="minorEastAsia"/>
                <w:bCs/>
                <w:color w:val="000000" w:themeColor="text1"/>
                <w:sz w:val="18"/>
                <w:szCs w:val="18"/>
                <w14:textFill>
                  <w14:solidFill>
                    <w14:schemeClr w14:val="tx1"/>
                  </w14:solidFill>
                </w14:textFill>
              </w:rPr>
              <w:t>（2）资信良好，不得为失信被执行人及失信被执行人的法定代表人、主要负责人、实际控制人、影响债务履行的直接责任人员。</w:t>
            </w:r>
          </w:p>
          <w:p>
            <w:pPr>
              <w:autoSpaceDE w:val="0"/>
              <w:autoSpaceDN w:val="0"/>
              <w:adjustRightInd w:val="0"/>
              <w:snapToGrid w:val="0"/>
              <w:spacing w:line="240" w:lineRule="exact"/>
              <w:ind w:left="-50" w:right="63" w:rightChars="30"/>
              <w:jc w:val="left"/>
              <w:rPr>
                <w:rFonts w:asciiTheme="minorEastAsia" w:hAnsiTheme="minorEastAsia" w:eastAsiaTheme="minorEastAsia"/>
                <w:bCs/>
                <w:color w:val="000000" w:themeColor="text1"/>
                <w:sz w:val="18"/>
                <w:szCs w:val="18"/>
                <w14:textFill>
                  <w14:solidFill>
                    <w14:schemeClr w14:val="tx1"/>
                  </w14:solidFill>
                </w14:textFill>
              </w:rPr>
            </w:pPr>
          </w:p>
        </w:tc>
      </w:tr>
    </w:tbl>
    <w:p>
      <w:pPr>
        <w:tabs>
          <w:tab w:val="left" w:pos="672"/>
        </w:tabs>
      </w:pPr>
    </w:p>
    <w:sectPr>
      <w:pgSz w:w="16838" w:h="11906" w:orient="landscape"/>
      <w:pgMar w:top="757" w:right="1418" w:bottom="1021"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058"/>
    <w:rsid w:val="00017585"/>
    <w:rsid w:val="000247A0"/>
    <w:rsid w:val="00046D56"/>
    <w:rsid w:val="00142FD7"/>
    <w:rsid w:val="001C4DA5"/>
    <w:rsid w:val="002233FE"/>
    <w:rsid w:val="00233152"/>
    <w:rsid w:val="002E10C3"/>
    <w:rsid w:val="00330E58"/>
    <w:rsid w:val="003505CE"/>
    <w:rsid w:val="00360288"/>
    <w:rsid w:val="003C0D4E"/>
    <w:rsid w:val="003E4968"/>
    <w:rsid w:val="0040249A"/>
    <w:rsid w:val="00420D59"/>
    <w:rsid w:val="00495288"/>
    <w:rsid w:val="00496A3D"/>
    <w:rsid w:val="004D36F4"/>
    <w:rsid w:val="00503420"/>
    <w:rsid w:val="005067E3"/>
    <w:rsid w:val="00511C32"/>
    <w:rsid w:val="00554ADE"/>
    <w:rsid w:val="00565480"/>
    <w:rsid w:val="005703E5"/>
    <w:rsid w:val="00580CAF"/>
    <w:rsid w:val="00581400"/>
    <w:rsid w:val="005B37F3"/>
    <w:rsid w:val="005E2073"/>
    <w:rsid w:val="005E2CA5"/>
    <w:rsid w:val="0064054B"/>
    <w:rsid w:val="00665734"/>
    <w:rsid w:val="00665AAE"/>
    <w:rsid w:val="00671058"/>
    <w:rsid w:val="00672E18"/>
    <w:rsid w:val="006A752F"/>
    <w:rsid w:val="00724402"/>
    <w:rsid w:val="00754FAB"/>
    <w:rsid w:val="0077223E"/>
    <w:rsid w:val="0078120C"/>
    <w:rsid w:val="007B2985"/>
    <w:rsid w:val="00815A8C"/>
    <w:rsid w:val="0087651C"/>
    <w:rsid w:val="00927E6B"/>
    <w:rsid w:val="00997D6E"/>
    <w:rsid w:val="009C430C"/>
    <w:rsid w:val="009F0E84"/>
    <w:rsid w:val="00A24F39"/>
    <w:rsid w:val="00A3427D"/>
    <w:rsid w:val="00A640DA"/>
    <w:rsid w:val="00A81E1D"/>
    <w:rsid w:val="00AA48D3"/>
    <w:rsid w:val="00AC3C9D"/>
    <w:rsid w:val="00AD1887"/>
    <w:rsid w:val="00AF3B9E"/>
    <w:rsid w:val="00B07C6B"/>
    <w:rsid w:val="00B52A3A"/>
    <w:rsid w:val="00B615AD"/>
    <w:rsid w:val="00B82B65"/>
    <w:rsid w:val="00B86015"/>
    <w:rsid w:val="00B92752"/>
    <w:rsid w:val="00BD286E"/>
    <w:rsid w:val="00C35CD7"/>
    <w:rsid w:val="00C951AD"/>
    <w:rsid w:val="00CA4413"/>
    <w:rsid w:val="00D56513"/>
    <w:rsid w:val="00D756F3"/>
    <w:rsid w:val="00DC2D92"/>
    <w:rsid w:val="00DD058A"/>
    <w:rsid w:val="00EC1ECF"/>
    <w:rsid w:val="00EC331D"/>
    <w:rsid w:val="00EC53D6"/>
    <w:rsid w:val="00EC5889"/>
    <w:rsid w:val="00ED2130"/>
    <w:rsid w:val="00ED6AE9"/>
    <w:rsid w:val="00EF2A34"/>
    <w:rsid w:val="00F1478C"/>
    <w:rsid w:val="00F5641E"/>
    <w:rsid w:val="00F64892"/>
    <w:rsid w:val="00F73787"/>
    <w:rsid w:val="00FA1A3A"/>
    <w:rsid w:val="00FA6CE3"/>
    <w:rsid w:val="00FA7F22"/>
    <w:rsid w:val="00FB7126"/>
    <w:rsid w:val="0942703A"/>
    <w:rsid w:val="0DD7301A"/>
    <w:rsid w:val="13C805CB"/>
    <w:rsid w:val="28796377"/>
    <w:rsid w:val="362C5FED"/>
    <w:rsid w:val="3BBF1725"/>
    <w:rsid w:val="45224D06"/>
    <w:rsid w:val="4CFB70D6"/>
    <w:rsid w:val="509E18E8"/>
    <w:rsid w:val="54EA3E83"/>
    <w:rsid w:val="56024175"/>
    <w:rsid w:val="601E720F"/>
    <w:rsid w:val="60E54939"/>
    <w:rsid w:val="655F2682"/>
    <w:rsid w:val="668A1D2D"/>
    <w:rsid w:val="68A115A9"/>
    <w:rsid w:val="69A95D1D"/>
    <w:rsid w:val="6BFD2AF7"/>
    <w:rsid w:val="717820EC"/>
    <w:rsid w:val="72B65CF1"/>
    <w:rsid w:val="77284FFE"/>
    <w:rsid w:val="7B7507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widowControl/>
      <w:spacing w:before="100" w:beforeAutospacing="1" w:after="100" w:afterAutospacing="1"/>
      <w:jc w:val="left"/>
      <w:outlineLvl w:val="0"/>
    </w:pPr>
    <w:rPr>
      <w:rFonts w:ascii="宋体" w:hAnsi="宋体" w:cs="宋体"/>
      <w:b/>
      <w:bCs/>
      <w:kern w:val="36"/>
      <w:sz w:val="48"/>
      <w:szCs w:val="48"/>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3">
    <w:name w:val="Body Text"/>
    <w:basedOn w:val="1"/>
    <w:link w:val="19"/>
    <w:qFormat/>
    <w:uiPriority w:val="0"/>
    <w:pPr>
      <w:spacing w:after="120"/>
    </w:pPr>
    <w:rPr>
      <w:rFonts w:asciiTheme="minorHAnsi" w:hAnsiTheme="minorHAnsi" w:cstheme="minorBidi"/>
    </w:rPr>
  </w:style>
  <w:style w:type="paragraph" w:styleId="4">
    <w:name w:val="Balloon Text"/>
    <w:basedOn w:val="1"/>
    <w:link w:val="13"/>
    <w:qFormat/>
    <w:uiPriority w:val="0"/>
    <w:rPr>
      <w:sz w:val="18"/>
      <w:szCs w:val="18"/>
    </w:rPr>
  </w:style>
  <w:style w:type="paragraph" w:styleId="5">
    <w:name w:val="footer"/>
    <w:basedOn w:val="1"/>
    <w:link w:val="14"/>
    <w:qFormat/>
    <w:uiPriority w:val="99"/>
    <w:pPr>
      <w:tabs>
        <w:tab w:val="center" w:pos="4153"/>
        <w:tab w:val="right" w:pos="8306"/>
      </w:tabs>
      <w:snapToGrid w:val="0"/>
      <w:jc w:val="left"/>
    </w:pPr>
    <w:rPr>
      <w:sz w:val="18"/>
      <w:szCs w:val="18"/>
    </w:rPr>
  </w:style>
  <w:style w:type="paragraph" w:styleId="6">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FollowedHyperlink"/>
    <w:basedOn w:val="9"/>
    <w:unhideWhenUsed/>
    <w:qFormat/>
    <w:uiPriority w:val="99"/>
    <w:rPr>
      <w:color w:val="954F72"/>
      <w:u w:val="single"/>
    </w:rPr>
  </w:style>
  <w:style w:type="character" w:styleId="11">
    <w:name w:val="Hyperlink"/>
    <w:basedOn w:val="9"/>
    <w:unhideWhenUsed/>
    <w:qFormat/>
    <w:uiPriority w:val="99"/>
    <w:rPr>
      <w:color w:val="0563C1"/>
      <w:u w:val="single"/>
    </w:rPr>
  </w:style>
  <w:style w:type="character" w:customStyle="1" w:styleId="12">
    <w:name w:val="标题 1 字符"/>
    <w:basedOn w:val="9"/>
    <w:link w:val="2"/>
    <w:qFormat/>
    <w:uiPriority w:val="0"/>
    <w:rPr>
      <w:rFonts w:ascii="宋体" w:hAnsi="宋体" w:eastAsia="宋体" w:cs="宋体"/>
      <w:b/>
      <w:bCs/>
      <w:kern w:val="36"/>
      <w:sz w:val="48"/>
      <w:szCs w:val="48"/>
    </w:rPr>
  </w:style>
  <w:style w:type="character" w:customStyle="1" w:styleId="13">
    <w:name w:val="批注框文本 字符"/>
    <w:basedOn w:val="9"/>
    <w:link w:val="4"/>
    <w:qFormat/>
    <w:uiPriority w:val="0"/>
    <w:rPr>
      <w:rFonts w:ascii="Times New Roman" w:hAnsi="Times New Roman" w:eastAsia="宋体" w:cs="Times New Roman"/>
      <w:sz w:val="18"/>
      <w:szCs w:val="18"/>
    </w:rPr>
  </w:style>
  <w:style w:type="character" w:customStyle="1" w:styleId="14">
    <w:name w:val="页脚 字符"/>
    <w:basedOn w:val="9"/>
    <w:link w:val="5"/>
    <w:qFormat/>
    <w:uiPriority w:val="99"/>
    <w:rPr>
      <w:rFonts w:ascii="Times New Roman" w:hAnsi="Times New Roman" w:eastAsia="宋体" w:cs="Times New Roman"/>
      <w:sz w:val="18"/>
      <w:szCs w:val="18"/>
    </w:rPr>
  </w:style>
  <w:style w:type="character" w:customStyle="1" w:styleId="15">
    <w:name w:val="页眉 字符"/>
    <w:basedOn w:val="9"/>
    <w:link w:val="6"/>
    <w:qFormat/>
    <w:uiPriority w:val="0"/>
    <w:rPr>
      <w:rFonts w:ascii="Times New Roman" w:hAnsi="Times New Roman" w:eastAsia="宋体" w:cs="Times New Roman"/>
      <w:sz w:val="18"/>
      <w:szCs w:val="18"/>
    </w:rPr>
  </w:style>
  <w:style w:type="paragraph" w:customStyle="1" w:styleId="16">
    <w:name w:val="样式1"/>
    <w:basedOn w:val="1"/>
    <w:link w:val="17"/>
    <w:qFormat/>
    <w:uiPriority w:val="0"/>
    <w:pPr>
      <w:spacing w:line="360" w:lineRule="auto"/>
      <w:jc w:val="center"/>
    </w:pPr>
    <w:rPr>
      <w:rFonts w:asciiTheme="minorEastAsia" w:hAnsiTheme="minorEastAsia" w:eastAsiaTheme="minorEastAsia"/>
      <w:b/>
      <w:sz w:val="28"/>
      <w:szCs w:val="28"/>
    </w:rPr>
  </w:style>
  <w:style w:type="character" w:customStyle="1" w:styleId="17">
    <w:name w:val="样式1 Char"/>
    <w:basedOn w:val="9"/>
    <w:link w:val="16"/>
    <w:qFormat/>
    <w:uiPriority w:val="0"/>
    <w:rPr>
      <w:rFonts w:cs="Times New Roman" w:asciiTheme="minorEastAsia" w:hAnsiTheme="minorEastAsia"/>
      <w:b/>
      <w:sz w:val="28"/>
      <w:szCs w:val="28"/>
    </w:rPr>
  </w:style>
  <w:style w:type="paragraph" w:customStyle="1" w:styleId="18">
    <w:name w:val="列表段落1"/>
    <w:basedOn w:val="1"/>
    <w:qFormat/>
    <w:uiPriority w:val="34"/>
    <w:pPr>
      <w:ind w:firstLine="420" w:firstLineChars="200"/>
    </w:pPr>
  </w:style>
  <w:style w:type="character" w:customStyle="1" w:styleId="19">
    <w:name w:val="正文文本 字符1"/>
    <w:link w:val="3"/>
    <w:qFormat/>
    <w:locked/>
    <w:uiPriority w:val="0"/>
    <w:rPr>
      <w:rFonts w:eastAsia="宋体"/>
      <w:szCs w:val="24"/>
    </w:rPr>
  </w:style>
  <w:style w:type="character" w:customStyle="1" w:styleId="20">
    <w:name w:val="正文文本 字符"/>
    <w:basedOn w:val="9"/>
    <w:semiHidden/>
    <w:qFormat/>
    <w:uiPriority w:val="99"/>
    <w:rPr>
      <w:rFonts w:ascii="Times New Roman" w:hAnsi="Times New Roman" w:eastAsia="宋体" w:cs="Times New Roman"/>
      <w:szCs w:val="24"/>
    </w:rPr>
  </w:style>
  <w:style w:type="paragraph" w:customStyle="1" w:styleId="21">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2">
    <w:name w:val="font5"/>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3">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4">
    <w:name w:val="font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25">
    <w:name w:val="xl63"/>
    <w:basedOn w:val="1"/>
    <w:qFormat/>
    <w:uiPriority w:val="0"/>
    <w:pPr>
      <w:widowControl/>
      <w:spacing w:before="100" w:beforeAutospacing="1" w:after="100" w:afterAutospacing="1"/>
      <w:jc w:val="left"/>
    </w:pPr>
    <w:rPr>
      <w:rFonts w:ascii="宋体" w:hAnsi="宋体" w:cs="宋体"/>
      <w:kern w:val="0"/>
      <w:sz w:val="24"/>
    </w:rPr>
  </w:style>
  <w:style w:type="paragraph" w:customStyle="1" w:styleId="26">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7">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4"/>
    </w:rPr>
  </w:style>
  <w:style w:type="paragraph" w:customStyle="1" w:styleId="28">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9">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0">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1">
    <w:name w:val="xl6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2">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33">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2D6A03-98CF-4393-A91A-DDB7161C406A}">
  <ds:schemaRefs/>
</ds:datastoreItem>
</file>

<file path=docProps/app.xml><?xml version="1.0" encoding="utf-8"?>
<Properties xmlns="http://schemas.openxmlformats.org/officeDocument/2006/extended-properties" xmlns:vt="http://schemas.openxmlformats.org/officeDocument/2006/docPropsVTypes">
  <Template>Normal.dotm</Template>
  <Pages>3</Pages>
  <Words>434</Words>
  <Characters>2478</Characters>
  <Lines>20</Lines>
  <Paragraphs>5</Paragraphs>
  <TotalTime>10</TotalTime>
  <ScaleCrop>false</ScaleCrop>
  <LinksUpToDate>false</LinksUpToDate>
  <CharactersWithSpaces>2907</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2021-02-17T06:05:00Z</dcterms:created>
  <dc:creator>dell</dc:creator>
  <cp:lastModifiedBy>WPS_1494981489</cp:lastModifiedBy>
  <cp:lastPrinted>2019-06-17T03:00:00Z</cp:lastPrinted>
  <dcterms:modified xsi:type="dcterms:W3CDTF">2021-02-18T01:07:59Z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