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jc w:val="center"/>
        <w:rPr>
          <w:rFonts w:ascii="宋体"/>
          <w:b/>
          <w:sz w:val="30"/>
          <w:szCs w:val="30"/>
        </w:rPr>
      </w:pPr>
      <w:r>
        <w:rPr>
          <w:rFonts w:hint="eastAsia" w:ascii="宋体" w:hAnsi="宋体"/>
          <w:b/>
          <w:sz w:val="30"/>
          <w:szCs w:val="30"/>
        </w:rPr>
        <w:t>竞价协议书</w:t>
      </w:r>
    </w:p>
    <w:p>
      <w:pPr>
        <w:autoSpaceDE w:val="0"/>
        <w:autoSpaceDN w:val="0"/>
        <w:spacing w:line="360" w:lineRule="auto"/>
        <w:jc w:val="center"/>
        <w:rPr>
          <w:rFonts w:ascii="宋体"/>
          <w:b/>
          <w:szCs w:val="21"/>
        </w:rPr>
      </w:pPr>
    </w:p>
    <w:p>
      <w:pPr>
        <w:autoSpaceDE w:val="0"/>
        <w:autoSpaceDN w:val="0"/>
        <w:spacing w:line="360" w:lineRule="auto"/>
        <w:jc w:val="left"/>
        <w:rPr>
          <w:rFonts w:ascii="宋体" w:hAnsi="宋体"/>
          <w:b/>
          <w:sz w:val="24"/>
          <w:szCs w:val="24"/>
        </w:rPr>
      </w:pPr>
      <w:r>
        <w:rPr>
          <w:rFonts w:hint="eastAsia" w:ascii="宋体" w:hAnsi="宋体"/>
          <w:b/>
          <w:sz w:val="24"/>
          <w:szCs w:val="24"/>
        </w:rPr>
        <w:t>代理人</w:t>
      </w:r>
      <w:r>
        <w:rPr>
          <w:rFonts w:ascii="宋体" w:hAnsi="宋体"/>
          <w:b/>
          <w:sz w:val="24"/>
          <w:szCs w:val="24"/>
        </w:rPr>
        <w:t>(</w:t>
      </w:r>
      <w:r>
        <w:rPr>
          <w:rFonts w:hint="eastAsia" w:ascii="宋体" w:hAnsi="宋体"/>
          <w:b/>
          <w:sz w:val="24"/>
          <w:szCs w:val="24"/>
        </w:rPr>
        <w:t>简称“甲方”</w:t>
      </w:r>
      <w:r>
        <w:rPr>
          <w:rFonts w:ascii="宋体" w:hAnsi="宋体"/>
          <w:b/>
          <w:sz w:val="24"/>
          <w:szCs w:val="24"/>
        </w:rPr>
        <w:t>)</w:t>
      </w:r>
      <w:r>
        <w:rPr>
          <w:rFonts w:hint="eastAsia" w:ascii="宋体" w:hAnsi="宋体"/>
          <w:b/>
          <w:sz w:val="24"/>
          <w:szCs w:val="24"/>
        </w:rPr>
        <w:t>：福建省宸万和拍卖行有限公司</w:t>
      </w:r>
    </w:p>
    <w:p>
      <w:pPr>
        <w:autoSpaceDE w:val="0"/>
        <w:autoSpaceDN w:val="0"/>
        <w:spacing w:line="360" w:lineRule="auto"/>
        <w:jc w:val="left"/>
        <w:rPr>
          <w:rFonts w:ascii="宋体"/>
          <w:b/>
          <w:sz w:val="24"/>
          <w:szCs w:val="24"/>
        </w:rPr>
      </w:pPr>
      <w:r>
        <w:rPr>
          <w:rFonts w:hint="eastAsia" w:ascii="宋体" w:hAnsi="宋体"/>
          <w:b/>
          <w:sz w:val="24"/>
          <w:szCs w:val="24"/>
        </w:rPr>
        <w:t>竞价人</w:t>
      </w:r>
      <w:r>
        <w:rPr>
          <w:rFonts w:ascii="宋体" w:hAnsi="宋体"/>
          <w:b/>
          <w:sz w:val="24"/>
          <w:szCs w:val="24"/>
        </w:rPr>
        <w:t>(</w:t>
      </w:r>
      <w:r>
        <w:rPr>
          <w:rFonts w:hint="eastAsia" w:ascii="宋体" w:hAnsi="宋体"/>
          <w:b/>
          <w:sz w:val="24"/>
          <w:szCs w:val="24"/>
        </w:rPr>
        <w:t>简称“乙方”</w:t>
      </w:r>
      <w:r>
        <w:rPr>
          <w:rFonts w:ascii="宋体" w:hAnsi="宋体"/>
          <w:b/>
          <w:sz w:val="24"/>
          <w:szCs w:val="24"/>
        </w:rPr>
        <w:t>)</w:t>
      </w:r>
      <w:r>
        <w:rPr>
          <w:rFonts w:hint="eastAsia" w:ascii="宋体" w:hAnsi="宋体"/>
          <w:b/>
          <w:sz w:val="24"/>
          <w:szCs w:val="24"/>
        </w:rPr>
        <w:t>：</w:t>
      </w:r>
      <w:r>
        <w:rPr>
          <w:rFonts w:ascii="宋体" w:hAnsi="宋体"/>
          <w:sz w:val="24"/>
        </w:rPr>
        <w:t xml:space="preserve">                  </w:t>
      </w:r>
      <w:r>
        <w:rPr>
          <w:rFonts w:hint="eastAsia" w:ascii="宋体" w:hAnsi="宋体"/>
          <w:b/>
          <w:sz w:val="24"/>
          <w:szCs w:val="24"/>
        </w:rPr>
        <w:t>受</w:t>
      </w:r>
      <w:r>
        <w:rPr>
          <w:rFonts w:ascii="宋体" w:hAnsi="宋体"/>
          <w:b/>
          <w:sz w:val="24"/>
          <w:szCs w:val="24"/>
        </w:rPr>
        <w:t xml:space="preserve">  </w:t>
      </w:r>
      <w:r>
        <w:rPr>
          <w:rFonts w:hint="eastAsia" w:ascii="宋体" w:hAnsi="宋体"/>
          <w:b/>
          <w:sz w:val="24"/>
          <w:szCs w:val="24"/>
        </w:rPr>
        <w:t>托</w:t>
      </w:r>
      <w:r>
        <w:rPr>
          <w:rFonts w:ascii="宋体" w:hAnsi="宋体"/>
          <w:b/>
          <w:sz w:val="24"/>
          <w:szCs w:val="24"/>
        </w:rPr>
        <w:t xml:space="preserve">  </w:t>
      </w:r>
      <w:r>
        <w:rPr>
          <w:rFonts w:hint="eastAsia" w:ascii="宋体" w:hAnsi="宋体"/>
          <w:b/>
          <w:sz w:val="24"/>
          <w:szCs w:val="24"/>
        </w:rPr>
        <w:t>人：</w:t>
      </w:r>
      <w:r>
        <w:rPr>
          <w:rFonts w:ascii="宋体" w:hAnsi="宋体"/>
          <w:sz w:val="24"/>
        </w:rPr>
        <w:t xml:space="preserve">                     </w:t>
      </w:r>
    </w:p>
    <w:p>
      <w:pPr>
        <w:autoSpaceDE w:val="0"/>
        <w:autoSpaceDN w:val="0"/>
        <w:spacing w:line="360" w:lineRule="auto"/>
        <w:ind w:firstLine="1275" w:firstLineChars="454"/>
        <w:jc w:val="left"/>
        <w:rPr>
          <w:rFonts w:ascii="宋体" w:hAnsi="宋体"/>
          <w:sz w:val="24"/>
          <w:u w:val="single"/>
        </w:rPr>
      </w:pPr>
      <w:r>
        <w:rPr>
          <w:rFonts w:hint="eastAsia" w:ascii="宋体" w:hAnsi="宋体"/>
          <w:b/>
          <w:spacing w:val="20"/>
          <w:sz w:val="24"/>
          <w:szCs w:val="24"/>
        </w:rPr>
        <w:t>证件号码</w:t>
      </w:r>
      <w:r>
        <w:rPr>
          <w:rFonts w:hint="eastAsia" w:ascii="宋体" w:hAnsi="宋体"/>
          <w:b/>
          <w:sz w:val="24"/>
          <w:szCs w:val="24"/>
        </w:rPr>
        <w:t>：</w:t>
      </w:r>
      <w:r>
        <w:rPr>
          <w:rFonts w:ascii="宋体" w:hAnsi="宋体"/>
          <w:sz w:val="24"/>
        </w:rPr>
        <w:t xml:space="preserve">                 </w:t>
      </w:r>
      <w:r>
        <w:rPr>
          <w:rFonts w:ascii="宋体" w:hAnsi="宋体"/>
          <w:b/>
          <w:sz w:val="24"/>
          <w:szCs w:val="24"/>
        </w:rPr>
        <w:t xml:space="preserve"> </w:t>
      </w:r>
      <w:r>
        <w:rPr>
          <w:rFonts w:hint="eastAsia" w:ascii="宋体" w:hAnsi="宋体"/>
          <w:b/>
          <w:sz w:val="24"/>
          <w:szCs w:val="24"/>
        </w:rPr>
        <w:t>身份证号码：</w:t>
      </w:r>
      <w:r>
        <w:rPr>
          <w:rFonts w:ascii="宋体" w:hAnsi="宋体"/>
          <w:sz w:val="24"/>
        </w:rPr>
        <w:t xml:space="preserve">                     </w:t>
      </w:r>
    </w:p>
    <w:p>
      <w:pPr>
        <w:autoSpaceDE w:val="0"/>
        <w:autoSpaceDN w:val="0"/>
        <w:spacing w:line="360" w:lineRule="auto"/>
        <w:ind w:firstLine="1275" w:firstLineChars="454"/>
        <w:jc w:val="left"/>
        <w:rPr>
          <w:rFonts w:ascii="宋体"/>
          <w:b/>
          <w:sz w:val="24"/>
          <w:szCs w:val="24"/>
        </w:rPr>
      </w:pPr>
      <w:r>
        <w:rPr>
          <w:rFonts w:hint="eastAsia" w:ascii="宋体" w:hAnsi="宋体"/>
          <w:b/>
          <w:spacing w:val="20"/>
          <w:sz w:val="24"/>
          <w:szCs w:val="24"/>
        </w:rPr>
        <w:t>联系电话</w:t>
      </w:r>
      <w:r>
        <w:rPr>
          <w:rFonts w:hint="eastAsia" w:ascii="宋体" w:hAnsi="宋体"/>
          <w:b/>
          <w:sz w:val="24"/>
          <w:szCs w:val="24"/>
        </w:rPr>
        <w:t>：</w:t>
      </w:r>
      <w:r>
        <w:rPr>
          <w:rFonts w:ascii="宋体" w:hAnsi="宋体"/>
          <w:sz w:val="24"/>
        </w:rPr>
        <w:t xml:space="preserve">                    </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甲方受委托，定于</w:t>
      </w:r>
      <w:r>
        <w:rPr>
          <w:rFonts w:ascii="宋体" w:hAnsi="宋体"/>
          <w:spacing w:val="-2"/>
          <w:szCs w:val="21"/>
        </w:rPr>
        <w:t>2020</w:t>
      </w:r>
      <w:r>
        <w:rPr>
          <w:rFonts w:hint="eastAsia" w:ascii="宋体" w:hAnsi="宋体"/>
          <w:spacing w:val="-2"/>
          <w:szCs w:val="21"/>
        </w:rPr>
        <w:t>年7月</w:t>
      </w:r>
      <w:r>
        <w:rPr>
          <w:rFonts w:hint="default" w:ascii="宋体" w:hAnsi="宋体"/>
          <w:spacing w:val="-2"/>
          <w:szCs w:val="21"/>
          <w:lang w:val="en-US"/>
        </w:rPr>
        <w:t>24</w:t>
      </w:r>
      <w:r>
        <w:rPr>
          <w:rFonts w:hint="eastAsia" w:ascii="宋体" w:hAnsi="宋体"/>
          <w:spacing w:val="-2"/>
          <w:szCs w:val="21"/>
        </w:rPr>
        <w:t>日</w:t>
      </w:r>
      <w:r>
        <w:rPr>
          <w:rFonts w:ascii="宋体" w:hAnsi="宋体"/>
          <w:spacing w:val="-2"/>
          <w:szCs w:val="21"/>
        </w:rPr>
        <w:t>9:</w:t>
      </w:r>
      <w:r>
        <w:rPr>
          <w:rFonts w:hint="eastAsia" w:ascii="宋体" w:hAnsi="宋体"/>
          <w:spacing w:val="-2"/>
          <w:szCs w:val="21"/>
        </w:rPr>
        <w:t>30</w:t>
      </w:r>
      <w:r>
        <w:rPr>
          <w:rFonts w:ascii="宋体" w:hAnsi="宋体"/>
          <w:spacing w:val="-2"/>
          <w:szCs w:val="21"/>
        </w:rPr>
        <w:t>[</w:t>
      </w:r>
      <w:r>
        <w:rPr>
          <w:rFonts w:hint="eastAsia" w:ascii="宋体" w:hAnsi="宋体"/>
          <w:spacing w:val="-2"/>
          <w:szCs w:val="21"/>
        </w:rPr>
        <w:t>标的</w:t>
      </w:r>
      <w:r>
        <w:rPr>
          <w:rFonts w:ascii="宋体" w:hAnsi="宋体"/>
          <w:spacing w:val="-2"/>
          <w:szCs w:val="21"/>
        </w:rPr>
        <w:t>01-</w:t>
      </w:r>
      <w:r>
        <w:rPr>
          <w:rFonts w:hint="eastAsia" w:ascii="宋体" w:hAnsi="宋体"/>
          <w:spacing w:val="-2"/>
          <w:szCs w:val="21"/>
        </w:rPr>
        <w:t>21</w:t>
      </w:r>
      <w:r>
        <w:rPr>
          <w:rFonts w:ascii="宋体" w:hAnsi="宋体"/>
          <w:spacing w:val="-2"/>
          <w:szCs w:val="21"/>
        </w:rPr>
        <w:t>]</w:t>
      </w:r>
      <w:r>
        <w:rPr>
          <w:rFonts w:hint="eastAsia" w:ascii="宋体" w:hAnsi="宋体"/>
          <w:szCs w:val="21"/>
        </w:rPr>
        <w:t>在厦门市公共资源市场配置竞价系统</w:t>
      </w:r>
      <w:r>
        <w:rPr>
          <w:rFonts w:ascii="宋体" w:hAnsi="宋体"/>
          <w:szCs w:val="21"/>
        </w:rPr>
        <w:t>(</w:t>
      </w:r>
      <w:r>
        <w:rPr>
          <w:rFonts w:hint="eastAsia" w:ascii="宋体" w:hAnsi="宋体"/>
          <w:szCs w:val="21"/>
        </w:rPr>
        <w:t>网址：</w:t>
      </w:r>
      <w:r>
        <w:rPr>
          <w:rFonts w:ascii="宋体" w:hAnsi="宋体"/>
          <w:szCs w:val="21"/>
        </w:rPr>
        <w:t>http://117.25.161.110:8082/ggzyscpz)</w:t>
      </w:r>
      <w:r>
        <w:rPr>
          <w:rFonts w:hint="eastAsia" w:ascii="宋体" w:hAnsi="宋体"/>
          <w:szCs w:val="21"/>
        </w:rPr>
        <w:t>采用网络电子竞价的方式举行</w:t>
      </w:r>
      <w:r>
        <w:rPr>
          <w:rFonts w:ascii="宋体" w:hAnsi="宋体" w:cs="宋体"/>
          <w:kern w:val="0"/>
          <w:szCs w:val="21"/>
        </w:rPr>
        <w:t>20</w:t>
      </w:r>
      <w:r>
        <w:rPr>
          <w:rFonts w:hint="eastAsia" w:ascii="宋体" w:hAnsi="宋体" w:cs="宋体"/>
          <w:kern w:val="0"/>
          <w:szCs w:val="21"/>
        </w:rPr>
        <w:t>20年第二批保障房配套商业第二次招租竞价会</w:t>
      </w:r>
      <w:r>
        <w:rPr>
          <w:rFonts w:hint="eastAsia" w:ascii="宋体" w:hAnsi="宋体"/>
          <w:szCs w:val="21"/>
        </w:rPr>
        <w:t>，乙方自愿参加甲方举行的竞价会。甲、乙双方本着公开、公平、公正的原则，根据《中华人民共和国合同法》、《中华人民共和国拍卖法》等相关法律、法规、规章及相关司法解释，在充分协商的基础上签订本协议。</w:t>
      </w:r>
    </w:p>
    <w:p>
      <w:pPr>
        <w:autoSpaceDE w:val="0"/>
        <w:autoSpaceDN w:val="0"/>
        <w:adjustRightInd w:val="0"/>
        <w:snapToGrid w:val="0"/>
        <w:spacing w:line="360" w:lineRule="exact"/>
        <w:rPr>
          <w:rFonts w:ascii="宋体"/>
          <w:szCs w:val="21"/>
        </w:rPr>
      </w:pPr>
      <w:r>
        <w:rPr>
          <w:rFonts w:hint="eastAsia" w:ascii="宋体" w:hAnsi="宋体"/>
          <w:b/>
          <w:szCs w:val="21"/>
        </w:rPr>
        <w:t>一、竞价标的</w:t>
      </w:r>
    </w:p>
    <w:p>
      <w:pPr>
        <w:autoSpaceDE w:val="0"/>
        <w:autoSpaceDN w:val="0"/>
        <w:adjustRightInd w:val="0"/>
        <w:snapToGrid w:val="0"/>
        <w:spacing w:line="360" w:lineRule="exact"/>
        <w:ind w:firstLine="420" w:firstLineChars="200"/>
        <w:rPr>
          <w:rFonts w:ascii="宋体"/>
          <w:szCs w:val="21"/>
        </w:rPr>
      </w:pPr>
      <w:r>
        <w:rPr>
          <w:rFonts w:ascii="宋体" w:hAnsi="宋体" w:cs="宋体"/>
          <w:kern w:val="0"/>
          <w:szCs w:val="21"/>
          <w:u w:val="single"/>
        </w:rPr>
        <w:t>20</w:t>
      </w:r>
      <w:r>
        <w:rPr>
          <w:rFonts w:hint="eastAsia" w:ascii="宋体" w:hAnsi="宋体" w:cs="宋体"/>
          <w:kern w:val="0"/>
          <w:szCs w:val="21"/>
          <w:u w:val="single"/>
        </w:rPr>
        <w:t>20年第二批保障房配套商业第二次招租</w:t>
      </w:r>
      <w:r>
        <w:rPr>
          <w:rFonts w:ascii="宋体" w:hAnsi="宋体"/>
          <w:szCs w:val="21"/>
        </w:rPr>
        <w:t xml:space="preserve"> (</w:t>
      </w:r>
      <w:r>
        <w:rPr>
          <w:rFonts w:hint="eastAsia" w:ascii="宋体" w:hAnsi="宋体"/>
          <w:szCs w:val="21"/>
        </w:rPr>
        <w:t>以下简称“标的”</w:t>
      </w:r>
      <w:r>
        <w:rPr>
          <w:rFonts w:ascii="宋体" w:hAnsi="宋体"/>
          <w:szCs w:val="21"/>
        </w:rPr>
        <w:t>)</w:t>
      </w:r>
      <w:r>
        <w:rPr>
          <w:rFonts w:hint="eastAsia" w:ascii="宋体" w:hAnsi="宋体"/>
          <w:szCs w:val="21"/>
        </w:rPr>
        <w:t>，详见附件《竞价清单》。</w:t>
      </w:r>
    </w:p>
    <w:p>
      <w:pPr>
        <w:autoSpaceDE w:val="0"/>
        <w:autoSpaceDN w:val="0"/>
        <w:adjustRightInd w:val="0"/>
        <w:snapToGrid w:val="0"/>
        <w:spacing w:line="360" w:lineRule="exact"/>
        <w:rPr>
          <w:rFonts w:ascii="宋体"/>
          <w:b/>
          <w:szCs w:val="21"/>
        </w:rPr>
      </w:pPr>
      <w:r>
        <w:rPr>
          <w:rFonts w:hint="eastAsia" w:ascii="宋体" w:hAnsi="宋体"/>
          <w:b/>
          <w:szCs w:val="21"/>
        </w:rPr>
        <w:t>二、竞价标的调查义务</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本次竞价是以标的现状</w:t>
      </w:r>
      <w:r>
        <w:rPr>
          <w:rFonts w:ascii="宋体" w:hAnsi="宋体" w:cs="Malgun Gothic Semilight"/>
          <w:spacing w:val="-2"/>
          <w:szCs w:val="21"/>
        </w:rPr>
        <w:t>(</w:t>
      </w:r>
      <w:r>
        <w:rPr>
          <w:rFonts w:hint="eastAsia" w:ascii="宋体" w:hAnsi="宋体" w:cs="微软雅黑"/>
          <w:spacing w:val="-2"/>
          <w:szCs w:val="21"/>
        </w:rPr>
        <w:t>包括地址</w:t>
      </w:r>
      <w:r>
        <w:rPr>
          <w:rFonts w:hint="eastAsia" w:ascii="宋体" w:hAnsi="宋体" w:cs="Malgun Gothic Semilight"/>
          <w:spacing w:val="-2"/>
          <w:szCs w:val="21"/>
        </w:rPr>
        <w:t>、</w:t>
      </w:r>
      <w:r>
        <w:rPr>
          <w:rFonts w:hint="eastAsia" w:ascii="宋体" w:hAnsi="宋体" w:cs="微软雅黑"/>
          <w:spacing w:val="-2"/>
          <w:szCs w:val="21"/>
        </w:rPr>
        <w:t>面积</w:t>
      </w:r>
      <w:r>
        <w:rPr>
          <w:rFonts w:hint="eastAsia" w:ascii="宋体" w:hAnsi="宋体" w:cs="Malgun Gothic Semilight"/>
          <w:spacing w:val="-2"/>
          <w:szCs w:val="21"/>
        </w:rPr>
        <w:t>、</w:t>
      </w:r>
      <w:r>
        <w:rPr>
          <w:rFonts w:hint="eastAsia" w:ascii="宋体" w:hAnsi="宋体" w:cs="微软雅黑"/>
          <w:spacing w:val="-2"/>
          <w:szCs w:val="21"/>
        </w:rPr>
        <w:t>房屋质量现状等</w:t>
      </w:r>
      <w:r>
        <w:rPr>
          <w:rFonts w:ascii="宋体" w:hAnsi="宋体" w:cs="Malgun Gothic Semilight"/>
          <w:spacing w:val="-2"/>
          <w:szCs w:val="21"/>
        </w:rPr>
        <w:t>)</w:t>
      </w:r>
      <w:r>
        <w:rPr>
          <w:rFonts w:hint="eastAsia" w:ascii="宋体" w:hAnsi="宋体"/>
          <w:szCs w:val="21"/>
        </w:rPr>
        <w:t>进行竞价。甲方已经在竞价前通过</w:t>
      </w:r>
      <w:r>
        <w:rPr>
          <w:rFonts w:hint="eastAsia" w:ascii="宋体" w:hAnsi="宋体" w:cs="微软雅黑"/>
          <w:spacing w:val="-2"/>
          <w:szCs w:val="21"/>
        </w:rPr>
        <w:t>相关媒体及网站上进行了公告和标的展示，同时</w:t>
      </w:r>
      <w:r>
        <w:rPr>
          <w:rFonts w:hint="eastAsia" w:ascii="宋体" w:hAnsi="宋体"/>
          <w:szCs w:val="21"/>
        </w:rPr>
        <w:t>向乙方充分展示了标的涉及的文书材料和标的的实际状况，乙方在公告规定的展示期间内，已对标的进行了了解、咨询，自愿参加本次竞价。</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甲、乙双方签署本协议，即视为甲方已经就竞价标的的来源、瑕疵和风险向乙方完成了充分的披露和说明，同时乙方承诺自行到相关部门了解、调查标的风险，在竞价前对标的的情况和价值进行自我判定，竞价成交后甲方及委托人对于标的及标的指向的价值、面积和瑕疵等不承担担保责任。</w:t>
      </w:r>
    </w:p>
    <w:p>
      <w:pPr>
        <w:autoSpaceDE w:val="0"/>
        <w:autoSpaceDN w:val="0"/>
        <w:adjustRightInd w:val="0"/>
        <w:snapToGrid w:val="0"/>
        <w:spacing w:line="360" w:lineRule="exact"/>
        <w:rPr>
          <w:rFonts w:ascii="宋体"/>
          <w:b/>
          <w:szCs w:val="21"/>
        </w:rPr>
      </w:pPr>
      <w:r>
        <w:rPr>
          <w:rFonts w:hint="eastAsia" w:ascii="宋体" w:hAnsi="宋体"/>
          <w:b/>
          <w:szCs w:val="21"/>
        </w:rPr>
        <w:t>三、标的瑕疵担保责任的免除</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、本次是以标的现状进行竞价，会前提供的各项数据仅供参考，甲方及委托人均不作保证。</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本次竞价的房产地址门牌号码、面积以及准确四至，以开发商在厦门市相关政府部门备案或者办理产权登记后的权证登记信息为准，现物业的图线、房产面积仅作参考，不具效力。竞价成功后，登记信息与标的现物业提供信息不符的，甲方及委托人不承担担保责任。</w:t>
      </w:r>
      <w:r>
        <w:rPr>
          <w:rFonts w:ascii="宋体" w:hAnsi="宋体"/>
          <w:szCs w:val="21"/>
        </w:rPr>
        <w:t xml:space="preserve"> </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、因建筑设计等原因，房产实际可作为经营的使用价值不同，乙方需谨慎对房产进行实地的查验。甲方及委托人对标的的实际使用效用不作保证。</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、此次竞价的标的不以建筑面积为计价单位，甲方与委托人对每层房产的面积、质量等不作保证，标的实际建筑面积与产权登记及甲方提供的参考数据不一致的，不影响标的的成交价格。</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4、乙方确认并同意甲方已经通过对标的的展示，向乙方明确说明和揭示了标的的瑕疵、缺陷和风险，乙方已经通过查阅文件、现场查看标的知悉上述瑕疵、缺陷和风险，标的出现该等瑕疵、缺陷或风险的，委托人不承担任何责任，乙方成为最终中标人后不得因此要求解除本合同，且无权要求委托人及甲方对此采取任何补救措施、支付任何费用或补偿款项或承担任何损害赔偿责任</w:t>
      </w:r>
      <w:r>
        <w:rPr>
          <w:rFonts w:ascii="宋体" w:hAnsi="宋体"/>
          <w:szCs w:val="21"/>
        </w:rPr>
        <w:t>(</w:t>
      </w:r>
      <w:r>
        <w:rPr>
          <w:rFonts w:hint="eastAsia" w:ascii="宋体" w:hAnsi="宋体"/>
          <w:szCs w:val="21"/>
        </w:rPr>
        <w:t>侵权责任</w:t>
      </w:r>
      <w:r>
        <w:rPr>
          <w:rFonts w:ascii="宋体" w:hAnsi="宋体"/>
          <w:szCs w:val="21"/>
        </w:rPr>
        <w:t>)</w:t>
      </w:r>
      <w:r>
        <w:rPr>
          <w:rFonts w:hint="eastAsia" w:ascii="宋体" w:hAnsi="宋体"/>
          <w:szCs w:val="21"/>
        </w:rPr>
        <w:t>，也无权要求减少、降低成交价款及佣金的金额或拒绝支付成交价款及佣金。</w:t>
      </w:r>
    </w:p>
    <w:p>
      <w:pPr>
        <w:autoSpaceDE w:val="0"/>
        <w:autoSpaceDN w:val="0"/>
        <w:adjustRightInd w:val="0"/>
        <w:snapToGrid w:val="0"/>
        <w:spacing w:line="360" w:lineRule="exact"/>
        <w:rPr>
          <w:rFonts w:ascii="宋体"/>
          <w:b/>
          <w:szCs w:val="21"/>
        </w:rPr>
      </w:pPr>
      <w:r>
        <w:rPr>
          <w:rFonts w:hint="eastAsia" w:ascii="宋体" w:hAnsi="宋体"/>
          <w:b/>
          <w:szCs w:val="21"/>
        </w:rPr>
        <w:t>四、竞价资格及竞价登记</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竞价资格：</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1、非特定标的</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1）竞标人必须是具有完全民事行为能力的自然人，以及依法设立的法人和其他组织。</w:t>
      </w:r>
    </w:p>
    <w:p>
      <w:pPr>
        <w:autoSpaceDE w:val="0"/>
        <w:autoSpaceDN w:val="0"/>
        <w:adjustRightInd w:val="0"/>
        <w:snapToGrid w:val="0"/>
        <w:spacing w:line="360" w:lineRule="exact"/>
        <w:ind w:firstLine="420" w:firstLineChars="200"/>
        <w:rPr>
          <w:rFonts w:ascii="宋体" w:hAnsi="宋体"/>
          <w:szCs w:val="21"/>
        </w:rPr>
      </w:pPr>
      <w:bookmarkStart w:id="0" w:name="OLE_LINK7"/>
      <w:bookmarkStart w:id="1" w:name="OLE_LINK6"/>
      <w:r>
        <w:rPr>
          <w:rFonts w:hint="eastAsia" w:ascii="宋体" w:hAnsi="宋体"/>
          <w:szCs w:val="21"/>
        </w:rPr>
        <w:t>2）资信良好，不得为失信被执行人及失信被执行人的法定代表人、主要负责人、实际控制人、影响</w:t>
      </w:r>
    </w:p>
    <w:p>
      <w:pPr>
        <w:autoSpaceDE w:val="0"/>
        <w:autoSpaceDN w:val="0"/>
        <w:adjustRightInd w:val="0"/>
        <w:snapToGrid w:val="0"/>
        <w:spacing w:line="360" w:lineRule="exact"/>
        <w:rPr>
          <w:rFonts w:ascii="宋体" w:hAnsi="宋体"/>
          <w:szCs w:val="21"/>
        </w:rPr>
      </w:pPr>
      <w:r>
        <w:rPr>
          <w:rFonts w:hint="eastAsia" w:ascii="宋体" w:hAnsi="宋体"/>
          <w:szCs w:val="21"/>
        </w:rPr>
        <w:t>债务履行的直接责任人员。</w:t>
      </w:r>
    </w:p>
    <w:bookmarkEnd w:id="0"/>
    <w:bookmarkEnd w:id="1"/>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3）本次招租的标的作为小区生活配套的商业用房，仅允许经营同时符合以下条件的行业：符合国家法律法规规定的行业；完全符合消防、环保等相关法律法规要求的行业；不会产生噪音扰民的行业；不会使用明火和/或会产生油烟扰民的餐饮行业；不允许从事废品回收行业。</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2、特定标的</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1）祥福三里91号101单元-103单元整体招租</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门牌号为祥福三里91号101单元-103单元(建筑面积合计455.9平方米)3间店面合并为一个标的整体对外招租。</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A、招租条件设定：</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(1)租赁年限：5年；</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(2)租金收取方式：自第二个计租年度起，租金在实际中标价的基础上逐年递增5%；</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(3)租赁业态：教育培训；</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B、竞价人资格设定：</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(1)竞标人必须是具有完全民事行为能力的自然人，以及依法设立的法人和其他组织；</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(2)资信良好，不得为失信被执行人及失信被执行人的法定代表人、主要负责人、实际控制人、影响债务履行的直接责任人员。</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2）溪尾一里20号101单元-107单元整体招租</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门牌号为溪尾一里20号101单元-107单元(建筑面积合计509.45平方米) 的7间店面合并为一个标的整体对外招租。</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A、招租条件设定：</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(1)租赁年限：5年；</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(2)租金收取方式：自第二个计租年度起，租金在实际中标价的基础上逐年递增5%；</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(3)租赁业态：生鲜超市；</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B、竞价人资格设定：</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(1)本标的竞标人必须为依法设立且资信良好的法人和其他组织参与竞标；</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(2)资信良好，不得为失信被执行人及失信被执行人的法定代表人、主要负责人、实际控制人、影响债务履行的直接责任人员。</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办理竞价登记：</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1、单位携带公章并准备工商营业执照，法人身份证件，经办人身份证件(上述资料复印件1套，须个人签名、单位盖章，携原件备查)，授权委托书，竞价保证金银行转账凭证(公对公转账)；</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2、个人携带身份证件、竞价保证金银行转账凭证到现场报名；</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3、竞价人应于2020年7月</w:t>
      </w:r>
      <w:r>
        <w:rPr>
          <w:rFonts w:hint="eastAsia" w:ascii="宋体" w:hAnsi="宋体"/>
          <w:szCs w:val="21"/>
          <w:lang w:val="en-US" w:eastAsia="zh-CN"/>
        </w:rPr>
        <w:t>22</w:t>
      </w:r>
      <w:r>
        <w:rPr>
          <w:rFonts w:hint="eastAsia" w:ascii="宋体" w:hAnsi="宋体"/>
          <w:szCs w:val="21"/>
        </w:rPr>
        <w:t>日09:00时至17:00时工作时间持有效证件、汇款凭证及文书到云顶北路842号市行政服务中心</w:t>
      </w:r>
      <w:bookmarkStart w:id="2" w:name="_Hlk1578528"/>
      <w:r>
        <w:rPr>
          <w:rFonts w:hint="eastAsia" w:ascii="宋体" w:hAnsi="宋体"/>
          <w:szCs w:val="21"/>
        </w:rPr>
        <w:t>四楼信息发布大厅21号窗口</w:t>
      </w:r>
      <w:bookmarkEnd w:id="2"/>
      <w:r>
        <w:rPr>
          <w:rFonts w:hint="eastAsia" w:ascii="宋体" w:hAnsi="宋体"/>
          <w:szCs w:val="21"/>
        </w:rPr>
        <w:t>办理竞价手续。</w:t>
      </w:r>
    </w:p>
    <w:p>
      <w:pPr>
        <w:autoSpaceDE w:val="0"/>
        <w:autoSpaceDN w:val="0"/>
        <w:adjustRightInd w:val="0"/>
        <w:snapToGrid w:val="0"/>
        <w:spacing w:line="360" w:lineRule="exact"/>
        <w:ind w:firstLine="420" w:firstLineChars="200"/>
        <w:rPr>
          <w:rFonts w:ascii="宋体" w:cs="微软雅黑"/>
          <w:spacing w:val="-2"/>
          <w:szCs w:val="21"/>
        </w:rPr>
      </w:pPr>
      <w:r>
        <w:rPr>
          <w:rFonts w:hint="eastAsia" w:ascii="宋体" w:hAnsi="宋体"/>
          <w:szCs w:val="21"/>
        </w:rPr>
        <w:t>4、据委托人要求，所有竞价人的竞价资料须经委托人审核通过后，方可取得竞价资格。享有优先承租权的权利人须持标的房屋原《房屋租赁合同》原件及复印件，报名参加合同所指房屋承租权的竞价，并经委托人确认后，方可取得优先承租权。意向竞价人应提供真实</w:t>
      </w:r>
      <w:bookmarkStart w:id="3" w:name="_GoBack"/>
      <w:bookmarkEnd w:id="3"/>
      <w:r>
        <w:rPr>
          <w:rFonts w:hint="eastAsia" w:ascii="宋体" w:hAnsi="宋体"/>
          <w:szCs w:val="21"/>
        </w:rPr>
        <w:t>资料，因意向竞价人提供不实资料，进行虚假陈述，隐瞒事实真相所造成的一切后果，应自行承担相应的法律责任及后果。</w:t>
      </w:r>
    </w:p>
    <w:p>
      <w:pPr>
        <w:autoSpaceDE w:val="0"/>
        <w:autoSpaceDN w:val="0"/>
        <w:adjustRightInd w:val="0"/>
        <w:snapToGrid w:val="0"/>
        <w:spacing w:line="360" w:lineRule="exact"/>
        <w:rPr>
          <w:rFonts w:ascii="宋体"/>
          <w:b/>
          <w:szCs w:val="21"/>
        </w:rPr>
      </w:pPr>
      <w:r>
        <w:rPr>
          <w:rFonts w:hint="eastAsia" w:ascii="宋体" w:hAnsi="宋体"/>
          <w:b/>
          <w:szCs w:val="21"/>
        </w:rPr>
        <w:t>五、竞价保证金</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、乙方参加标的竞价应交纳标的相应的竞价保证金人民币共</w:t>
      </w:r>
      <w:r>
        <w:rPr>
          <w:rFonts w:ascii="宋体" w:hAnsi="宋体"/>
          <w:sz w:val="24"/>
          <w:u w:val="single"/>
        </w:rPr>
        <w:t xml:space="preserve">       </w:t>
      </w:r>
      <w:r>
        <w:rPr>
          <w:rFonts w:hint="eastAsia" w:ascii="宋体" w:hAnsi="宋体"/>
          <w:szCs w:val="21"/>
        </w:rPr>
        <w:t>元整。</w:t>
      </w:r>
      <w:r>
        <w:rPr>
          <w:rFonts w:hint="eastAsia" w:ascii="宋体" w:hAnsi="宋体"/>
          <w:kern w:val="0"/>
          <w:szCs w:val="21"/>
        </w:rPr>
        <w:t>竞价人可选择参与保证金金额要求不高于所缴纳保证金金额的所有意向标的竞买，</w:t>
      </w:r>
      <w:r>
        <w:rPr>
          <w:rFonts w:hint="eastAsia" w:ascii="宋体" w:hAnsi="宋体"/>
          <w:szCs w:val="21"/>
        </w:rPr>
        <w:t>竞得后扣除竞得标的所需保证金后剩余的有效保证金符合下一意向标的竞价保证金要求的，方可继续参与竞价。有意竞得多个意向标的的竞价人应当缴纳足额的竞价保证金。</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竞价保证金应在</w:t>
      </w:r>
      <w:r>
        <w:rPr>
          <w:rFonts w:ascii="宋体" w:hAnsi="宋体"/>
          <w:spacing w:val="-2"/>
          <w:szCs w:val="21"/>
        </w:rPr>
        <w:t>2020</w:t>
      </w:r>
      <w:r>
        <w:rPr>
          <w:rFonts w:hint="eastAsia" w:ascii="宋体" w:hAnsi="宋体"/>
          <w:spacing w:val="-2"/>
          <w:szCs w:val="21"/>
        </w:rPr>
        <w:t>年7月</w:t>
      </w:r>
      <w:r>
        <w:rPr>
          <w:rFonts w:hint="default" w:ascii="宋体" w:hAnsi="宋体"/>
          <w:spacing w:val="-2"/>
          <w:szCs w:val="21"/>
          <w:lang w:val="en-US"/>
        </w:rPr>
        <w:t>22</w:t>
      </w:r>
      <w:r>
        <w:rPr>
          <w:rFonts w:hint="eastAsia" w:ascii="宋体" w:hAnsi="宋体" w:cs="微软雅黑"/>
          <w:spacing w:val="-2"/>
          <w:szCs w:val="21"/>
        </w:rPr>
        <w:t>日</w:t>
      </w:r>
      <w:r>
        <w:rPr>
          <w:rFonts w:ascii="宋体" w:hAnsi="宋体"/>
          <w:szCs w:val="21"/>
        </w:rPr>
        <w:t>16:30</w:t>
      </w:r>
      <w:r>
        <w:rPr>
          <w:rFonts w:hint="eastAsia" w:ascii="宋体" w:hAnsi="宋体"/>
          <w:szCs w:val="21"/>
        </w:rPr>
        <w:t>时前汇至甲方指定账户，竞价保证金以到账为准。并于</w:t>
      </w:r>
      <w:r>
        <w:rPr>
          <w:rFonts w:ascii="宋体" w:hAnsi="宋体"/>
          <w:spacing w:val="-2"/>
          <w:szCs w:val="21"/>
        </w:rPr>
        <w:t>2020</w:t>
      </w:r>
      <w:r>
        <w:rPr>
          <w:rFonts w:hint="eastAsia" w:ascii="宋体" w:hAnsi="宋体"/>
          <w:spacing w:val="-2"/>
          <w:szCs w:val="21"/>
        </w:rPr>
        <w:t>年7月</w:t>
      </w:r>
      <w:r>
        <w:rPr>
          <w:rFonts w:hint="default" w:ascii="宋体" w:hAnsi="宋体"/>
          <w:spacing w:val="-2"/>
          <w:szCs w:val="21"/>
          <w:lang w:val="en-US"/>
        </w:rPr>
        <w:t>22</w:t>
      </w:r>
      <w:r>
        <w:rPr>
          <w:rFonts w:hint="eastAsia" w:ascii="宋体" w:hAnsi="宋体"/>
          <w:spacing w:val="-2"/>
          <w:szCs w:val="21"/>
        </w:rPr>
        <w:t>日</w:t>
      </w:r>
      <w:r>
        <w:rPr>
          <w:rFonts w:ascii="宋体" w:hAnsi="宋体"/>
          <w:szCs w:val="21"/>
        </w:rPr>
        <w:t>9:00</w:t>
      </w:r>
      <w:r>
        <w:rPr>
          <w:rFonts w:hint="eastAsia" w:ascii="宋体" w:hAnsi="宋体"/>
          <w:szCs w:val="21"/>
        </w:rPr>
        <w:t>时至</w:t>
      </w:r>
      <w:r>
        <w:rPr>
          <w:rFonts w:ascii="宋体" w:hAnsi="宋体"/>
          <w:szCs w:val="21"/>
        </w:rPr>
        <w:t>17:00</w:t>
      </w:r>
      <w:r>
        <w:rPr>
          <w:rFonts w:hint="eastAsia" w:ascii="宋体" w:hAnsi="宋体"/>
          <w:szCs w:val="21"/>
        </w:rPr>
        <w:t>时持有效证件及保证金交款凭证，到</w:t>
      </w:r>
      <w:r>
        <w:rPr>
          <w:rFonts w:hint="eastAsia" w:ascii="宋体" w:hAnsi="宋体" w:cs="宋体"/>
          <w:kern w:val="0"/>
          <w:szCs w:val="21"/>
        </w:rPr>
        <w:t>云顶北路</w:t>
      </w:r>
      <w:r>
        <w:rPr>
          <w:rFonts w:ascii="宋体" w:hAnsi="宋体" w:cs="宋体"/>
          <w:kern w:val="0"/>
          <w:szCs w:val="21"/>
        </w:rPr>
        <w:t>842</w:t>
      </w:r>
      <w:r>
        <w:rPr>
          <w:rFonts w:hint="eastAsia" w:ascii="宋体" w:hAnsi="宋体" w:cs="宋体"/>
          <w:kern w:val="0"/>
          <w:szCs w:val="21"/>
        </w:rPr>
        <w:t>号市行政服务中心四楼信息发布大厅</w:t>
      </w:r>
      <w:r>
        <w:rPr>
          <w:rFonts w:ascii="宋体" w:hAnsi="宋体" w:cs="宋体"/>
          <w:kern w:val="0"/>
          <w:szCs w:val="21"/>
        </w:rPr>
        <w:t>2</w:t>
      </w:r>
      <w:r>
        <w:rPr>
          <w:rFonts w:hint="eastAsia" w:ascii="宋体" w:hAnsi="宋体" w:cs="宋体"/>
          <w:kern w:val="0"/>
          <w:szCs w:val="21"/>
        </w:rPr>
        <w:t>1号窗口</w:t>
      </w:r>
      <w:r>
        <w:rPr>
          <w:rFonts w:hint="eastAsia" w:ascii="宋体" w:hAnsi="宋体"/>
          <w:szCs w:val="21"/>
        </w:rPr>
        <w:t>办理报名手续。</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乙方成功竞得标的后，已缴纳的竞价保证金转为履约保证金；若乙方缴纳多份保证金的，乙方承诺已缴纳的全部保证金均按照前款规定执行；留存至甲方的履约保证金，待乙方与委托人签订《房屋租赁合同》并支付甲方竞价佣金后退还至乙方预留银行账户，竞价佣金甲方有权从留存至甲方的履约保证金中扣划。</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、如乙方未能竞得标的，竞价保证金在成交结果公示</w:t>
      </w:r>
      <w:r>
        <w:rPr>
          <w:rFonts w:ascii="宋体" w:hAnsi="宋体"/>
          <w:szCs w:val="21"/>
        </w:rPr>
        <w:t>7</w:t>
      </w:r>
      <w:r>
        <w:rPr>
          <w:rFonts w:hint="eastAsia" w:ascii="宋体" w:hAnsi="宋体"/>
          <w:szCs w:val="21"/>
        </w:rPr>
        <w:t>个工作日无异议后的</w:t>
      </w:r>
      <w:r>
        <w:rPr>
          <w:rFonts w:ascii="宋体" w:hAnsi="宋体"/>
          <w:szCs w:val="21"/>
        </w:rPr>
        <w:t>5</w:t>
      </w:r>
      <w:r>
        <w:rPr>
          <w:rFonts w:hint="eastAsia" w:ascii="宋体" w:hAnsi="宋体"/>
          <w:szCs w:val="21"/>
        </w:rPr>
        <w:t>个工作日内全额无息退还至乙方预留银行账户。</w:t>
      </w:r>
    </w:p>
    <w:p>
      <w:pPr>
        <w:autoSpaceDE w:val="0"/>
        <w:autoSpaceDN w:val="0"/>
        <w:adjustRightInd w:val="0"/>
        <w:snapToGrid w:val="0"/>
        <w:spacing w:line="360" w:lineRule="exact"/>
        <w:ind w:firstLine="420" w:firstLineChars="200"/>
        <w:rPr>
          <w:rFonts w:ascii="宋体"/>
          <w:szCs w:val="21"/>
        </w:rPr>
      </w:pPr>
      <w:r>
        <w:rPr>
          <w:rFonts w:ascii="宋体" w:hAnsi="宋体"/>
          <w:szCs w:val="21"/>
        </w:rPr>
        <w:t>4</w:t>
      </w:r>
      <w:r>
        <w:rPr>
          <w:rFonts w:hint="eastAsia" w:ascii="宋体" w:hAnsi="宋体"/>
          <w:szCs w:val="21"/>
        </w:rPr>
        <w:t>、如乙方未通过委托人的资格审核，竞价保证金在资格审查结束之日起</w:t>
      </w:r>
      <w:r>
        <w:rPr>
          <w:rFonts w:ascii="宋体" w:hAnsi="宋体"/>
          <w:szCs w:val="21"/>
        </w:rPr>
        <w:t>2</w:t>
      </w:r>
      <w:r>
        <w:rPr>
          <w:rFonts w:hint="eastAsia" w:ascii="宋体" w:hAnsi="宋体"/>
          <w:szCs w:val="21"/>
        </w:rPr>
        <w:t>个工作日内全额无息退还至乙方预留银行账户。</w:t>
      </w:r>
    </w:p>
    <w:p>
      <w:pPr>
        <w:autoSpaceDE w:val="0"/>
        <w:autoSpaceDN w:val="0"/>
        <w:adjustRightInd w:val="0"/>
        <w:snapToGrid w:val="0"/>
        <w:spacing w:line="360" w:lineRule="exact"/>
        <w:rPr>
          <w:rFonts w:ascii="宋体"/>
          <w:b/>
          <w:szCs w:val="21"/>
        </w:rPr>
      </w:pPr>
      <w:r>
        <w:rPr>
          <w:rFonts w:hint="eastAsia" w:ascii="宋体" w:hAnsi="宋体"/>
          <w:b/>
          <w:szCs w:val="21"/>
        </w:rPr>
        <w:t>六、竞价操作</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甲方协助乙方在厦门市公共资源市场配置竞价系统注册账号。竞价人对自己竞价的系统用户名和密码安全负责，任何使用竞价人用户名、密码及验证码登录竞价系统的用户，在竞价系统中的一切行为均视为该竞价人本人的行为，由竞价人自行负责。</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办理报名手续后收到的短信只是登陆系统的登录名和密码，是否具有相关标的竞价资格须待业主审查确认。</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资格审核通过后，请使用</w:t>
      </w:r>
      <w:r>
        <w:rPr>
          <w:rFonts w:ascii="宋体" w:hAnsi="宋体"/>
          <w:szCs w:val="21"/>
        </w:rPr>
        <w:t>IE</w:t>
      </w:r>
      <w:r>
        <w:rPr>
          <w:rFonts w:hint="eastAsia" w:ascii="宋体" w:hAnsi="宋体"/>
          <w:szCs w:val="21"/>
        </w:rPr>
        <w:t>浏览器</w:t>
      </w:r>
      <w:r>
        <w:rPr>
          <w:rFonts w:ascii="宋体" w:hAnsi="宋体"/>
          <w:szCs w:val="21"/>
        </w:rPr>
        <w:t>(8.0</w:t>
      </w:r>
      <w:r>
        <w:rPr>
          <w:rFonts w:hint="eastAsia" w:ascii="宋体" w:hAnsi="宋体"/>
          <w:szCs w:val="21"/>
        </w:rPr>
        <w:t>以上版本</w:t>
      </w:r>
      <w:r>
        <w:rPr>
          <w:rFonts w:ascii="宋体" w:hAnsi="宋体"/>
          <w:szCs w:val="21"/>
        </w:rPr>
        <w:t>)</w:t>
      </w:r>
      <w:r>
        <w:rPr>
          <w:rFonts w:hint="eastAsia" w:ascii="宋体" w:hAnsi="宋体"/>
          <w:szCs w:val="21"/>
        </w:rPr>
        <w:t>输入网址竞价网址，</w:t>
      </w:r>
      <w:r>
        <w:rPr>
          <w:rFonts w:ascii="宋体" w:hAnsi="宋体"/>
          <w:szCs w:val="21"/>
        </w:rPr>
        <w:t xml:space="preserve"> </w:t>
      </w:r>
      <w:r>
        <w:rPr>
          <w:rFonts w:hint="eastAsia" w:ascii="宋体" w:hAnsi="宋体"/>
          <w:szCs w:val="21"/>
        </w:rPr>
        <w:t>打开网页后，输入登录名、密码以及手机验证码登陆系统。</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、竞价人应提前登陆电子竞价系统</w:t>
      </w:r>
      <w:r>
        <w:rPr>
          <w:rFonts w:ascii="宋体" w:hAnsi="宋体"/>
          <w:szCs w:val="21"/>
        </w:rPr>
        <w:t>(</w:t>
      </w:r>
      <w:r>
        <w:rPr>
          <w:rFonts w:hint="eastAsia" w:ascii="宋体" w:hAnsi="宋体"/>
          <w:szCs w:val="21"/>
        </w:rPr>
        <w:t>以下简称系统</w:t>
      </w:r>
      <w:r>
        <w:rPr>
          <w:rFonts w:ascii="宋体" w:hAnsi="宋体"/>
          <w:szCs w:val="21"/>
        </w:rPr>
        <w:t>)</w:t>
      </w:r>
      <w:r>
        <w:rPr>
          <w:rFonts w:hint="eastAsia" w:ascii="宋体" w:hAnsi="宋体"/>
          <w:szCs w:val="21"/>
        </w:rPr>
        <w:t>熟悉竞价环境，并在厦门市公共资源交易网发布的《配置信息公告》载明的竞价会开始时间前</w:t>
      </w:r>
      <w:r>
        <w:rPr>
          <w:rFonts w:ascii="宋体" w:hAnsi="宋体"/>
          <w:szCs w:val="21"/>
        </w:rPr>
        <w:t>20</w:t>
      </w:r>
      <w:r>
        <w:rPr>
          <w:rFonts w:hint="eastAsia" w:ascii="宋体" w:hAnsi="宋体"/>
          <w:szCs w:val="21"/>
        </w:rPr>
        <w:t>分钟登录系统等待竞价开始。竞价人应尽量采用高带宽、高性能、安全的网络环境。鉴于互联网环境可能存在的延时等不可抗因素，竞价人应尽量在自由报价期内充分出价，在限时竞价期内及时出价。</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、本次竞价采用网络电子竞价方式进行，竞价的起止时间以电子竞价系统的服务器时间为准。竞价采取以下操作流程。</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竞价顺序</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本次竞价共为21个标的，详见《竞价清单》，甲方将按委托标的序号的顺序依次竞价</w:t>
      </w:r>
      <w:r>
        <w:rPr>
          <w:rFonts w:ascii="宋体" w:hAnsi="宋体"/>
          <w:szCs w:val="21"/>
        </w:rPr>
        <w:t>(</w:t>
      </w:r>
      <w:r>
        <w:rPr>
          <w:rFonts w:hint="eastAsia" w:ascii="宋体" w:hAnsi="宋体"/>
          <w:szCs w:val="21"/>
        </w:rPr>
        <w:t>遇无人报名标的将自动跳过</w:t>
      </w:r>
      <w:r>
        <w:rPr>
          <w:rFonts w:ascii="宋体" w:hAnsi="宋体"/>
          <w:szCs w:val="21"/>
        </w:rPr>
        <w:t>)</w:t>
      </w:r>
      <w:r>
        <w:rPr>
          <w:rFonts w:hint="eastAsia" w:ascii="宋体" w:hAnsi="宋体"/>
          <w:szCs w:val="21"/>
        </w:rPr>
        <w:t>。</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报价时间</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本次竞价各个标的自由报价期开始时间以电子竞价系统的服务器时间为准。</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各标的竞价由自由报价期</w:t>
      </w:r>
      <w:r>
        <w:rPr>
          <w:rFonts w:ascii="宋体" w:hAnsi="宋体"/>
          <w:szCs w:val="21"/>
        </w:rPr>
        <w:t>5</w:t>
      </w:r>
      <w:r>
        <w:rPr>
          <w:rFonts w:hint="eastAsia" w:ascii="宋体" w:hAnsi="宋体"/>
          <w:szCs w:val="21"/>
        </w:rPr>
        <w:t>分钟，自由报价结束后立即自动进入延时报价期。延时报价期可由多个延时报价周期组成，每个延时报价周期为</w:t>
      </w:r>
      <w:r>
        <w:rPr>
          <w:rFonts w:ascii="宋体" w:hAnsi="宋体"/>
          <w:szCs w:val="21"/>
        </w:rPr>
        <w:t>2</w:t>
      </w:r>
      <w:r>
        <w:rPr>
          <w:rFonts w:hint="eastAsia" w:ascii="宋体" w:hAnsi="宋体"/>
          <w:szCs w:val="21"/>
        </w:rPr>
        <w:t>分钟。在一个延时报价周期内，如出现有效报价，则立即自动进入新一轮的延时报价周期；在一个延时报价周期内如未出现有效报价，则本次竞价结束。自由报价期竞价人可以多次报价。</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报价的有效性</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竞价会的首个报价只需不低于标的底价即为有效。</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第二个报价起，以人民币</w:t>
      </w:r>
      <w:r>
        <w:rPr>
          <w:rFonts w:ascii="宋体" w:hAnsi="宋体"/>
          <w:szCs w:val="21"/>
          <w:u w:val="single"/>
        </w:rPr>
        <w:t xml:space="preserve">  </w:t>
      </w:r>
      <w:r>
        <w:rPr>
          <w:rFonts w:hint="eastAsia" w:ascii="宋体" w:hAnsi="宋体"/>
          <w:szCs w:val="21"/>
          <w:u w:val="single"/>
        </w:rPr>
        <w:t>拾元</w:t>
      </w:r>
      <w:r>
        <w:rPr>
          <w:rFonts w:ascii="宋体" w:hAnsi="宋体"/>
          <w:szCs w:val="21"/>
          <w:u w:val="single"/>
        </w:rPr>
        <w:t>/</w:t>
      </w:r>
      <w:r>
        <w:rPr>
          <w:rFonts w:hint="eastAsia" w:ascii="宋体" w:hAnsi="宋体"/>
          <w:szCs w:val="21"/>
          <w:u w:val="single"/>
        </w:rPr>
        <w:t>月</w:t>
      </w:r>
      <w:r>
        <w:rPr>
          <w:rFonts w:ascii="宋体" w:hAnsi="宋体"/>
          <w:szCs w:val="21"/>
        </w:rPr>
        <w:t>(</w:t>
      </w:r>
      <w:r>
        <w:rPr>
          <w:rFonts w:hint="eastAsia" w:ascii="宋体" w:hAnsi="宋体"/>
          <w:szCs w:val="21"/>
        </w:rPr>
        <w:t>详见《竞价清单》</w:t>
      </w:r>
      <w:r>
        <w:rPr>
          <w:rFonts w:ascii="宋体" w:hAnsi="宋体"/>
          <w:szCs w:val="21"/>
        </w:rPr>
        <w:t>)</w:t>
      </w:r>
      <w:r>
        <w:rPr>
          <w:rFonts w:hint="eastAsia" w:ascii="宋体" w:hAnsi="宋体"/>
          <w:szCs w:val="21"/>
        </w:rPr>
        <w:t>为基本报价单位，报价中含有基本报价单位以下金额的，系统将自动舍去基本报价单位以下的金额为有效报价。</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第二个报价起，每次报价不得低于当前最高有效报价加上系统设定的最低加价幅度</w:t>
      </w:r>
      <w:r>
        <w:rPr>
          <w:rFonts w:ascii="宋体" w:hAnsi="宋体"/>
          <w:szCs w:val="21"/>
        </w:rPr>
        <w:t>(</w:t>
      </w:r>
      <w:r>
        <w:rPr>
          <w:rFonts w:hint="eastAsia" w:ascii="宋体" w:hAnsi="宋体"/>
          <w:szCs w:val="21"/>
        </w:rPr>
        <w:t>详见《竞价清单》</w:t>
      </w:r>
      <w:r>
        <w:rPr>
          <w:rFonts w:ascii="宋体" w:hAnsi="宋体"/>
          <w:szCs w:val="21"/>
        </w:rPr>
        <w:t>)</w:t>
      </w:r>
      <w:r>
        <w:rPr>
          <w:rFonts w:hint="eastAsia" w:ascii="宋体" w:hAnsi="宋体"/>
          <w:szCs w:val="21"/>
        </w:rPr>
        <w:t>，不限最高报价。</w:t>
      </w:r>
    </w:p>
    <w:p>
      <w:pPr>
        <w:pStyle w:val="8"/>
        <w:numPr>
          <w:ilvl w:val="0"/>
          <w:numId w:val="1"/>
        </w:numPr>
        <w:autoSpaceDE w:val="0"/>
        <w:autoSpaceDN w:val="0"/>
        <w:adjustRightInd w:val="0"/>
        <w:snapToGrid w:val="0"/>
        <w:spacing w:line="360" w:lineRule="exact"/>
        <w:ind w:firstLineChars="0"/>
        <w:rPr>
          <w:rFonts w:ascii="宋体"/>
          <w:szCs w:val="21"/>
        </w:rPr>
      </w:pPr>
      <w:r>
        <w:rPr>
          <w:rFonts w:hint="eastAsia" w:ascii="宋体" w:hAnsi="宋体"/>
          <w:szCs w:val="21"/>
        </w:rPr>
        <w:t>最终中标人的确定</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竞价会各项标的竞价结束时的最高有效报价被认定为中标价，该竞价人也被认定为该项标的的最终中标人。报价一经确认提交，不可修改或撤销，竞价人应对自己的报价行为负责，一经报价即为有效，不得以任何理由对抗自己报价的法律效果。各竞价人应谨慎思考，合理报价。</w:t>
      </w:r>
      <w:r>
        <w:rPr>
          <w:rFonts w:ascii="宋体" w:hAnsi="宋体"/>
          <w:szCs w:val="21"/>
        </w:rPr>
        <w:t xml:space="preserve"> </w:t>
      </w:r>
    </w:p>
    <w:p>
      <w:pPr>
        <w:autoSpaceDE w:val="0"/>
        <w:autoSpaceDN w:val="0"/>
        <w:adjustRightInd w:val="0"/>
        <w:snapToGrid w:val="0"/>
        <w:spacing w:line="360" w:lineRule="exact"/>
        <w:rPr>
          <w:rFonts w:ascii="宋体"/>
          <w:b/>
          <w:szCs w:val="21"/>
        </w:rPr>
      </w:pPr>
      <w:r>
        <w:rPr>
          <w:rFonts w:hint="eastAsia" w:ascii="宋体" w:hAnsi="宋体"/>
          <w:b/>
          <w:szCs w:val="21"/>
        </w:rPr>
        <w:t>七、特别约定与网络竞价风险提示</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如在报名期间内办理该项标的竞价登记的竞价人仅有一人，委托人同意以标的底价成交，且竞出价格不低于标的底价，该竞价自动中标；如在竞价期间内无人在底价之上（含底价）出价，则本轮竞价活动自动终止。</w:t>
      </w:r>
    </w:p>
    <w:p>
      <w:pPr>
        <w:autoSpaceDE w:val="0"/>
        <w:autoSpaceDN w:val="0"/>
        <w:adjustRightInd w:val="0"/>
        <w:snapToGrid w:val="0"/>
        <w:spacing w:line="360" w:lineRule="exact"/>
        <w:ind w:firstLine="420" w:firstLineChars="200"/>
        <w:rPr>
          <w:rFonts w:ascii="宋体" w:hAnsi="宋体"/>
          <w:szCs w:val="21"/>
        </w:rPr>
      </w:pPr>
      <w:r>
        <w:rPr>
          <w:rFonts w:ascii="宋体" w:hAnsi="宋体"/>
          <w:szCs w:val="21"/>
        </w:rPr>
        <w:t>2</w:t>
      </w:r>
      <w:r>
        <w:rPr>
          <w:rFonts w:hint="eastAsia" w:ascii="宋体" w:hAnsi="宋体"/>
          <w:szCs w:val="21"/>
        </w:rPr>
        <w:t>、发生下列情形之一的，主持人有权中止、终结竞价活动或在竞价活动结束后宣布结果为无效</w:t>
      </w:r>
      <w:r>
        <w:rPr>
          <w:rFonts w:ascii="宋体" w:hAnsi="宋体"/>
          <w:szCs w:val="21"/>
        </w:rPr>
        <w:t xml:space="preserve">: </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系统服务器所处互联网络或中心网络出现故障的；</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系统服务器硬件或软件等出现故障的；</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包括但不限于标的权属不符、标的性状改变等原因而使竞价活动产生争议的；</w:t>
      </w:r>
    </w:p>
    <w:p>
      <w:pPr>
        <w:autoSpaceDE w:val="0"/>
        <w:autoSpaceDN w:val="0"/>
        <w:adjustRightInd w:val="0"/>
        <w:snapToGrid w:val="0"/>
        <w:spacing w:line="360" w:lineRule="exact"/>
        <w:ind w:firstLine="420" w:firstLineChars="200"/>
        <w:rPr>
          <w:rFonts w:ascii="宋体"/>
          <w:szCs w:val="21"/>
        </w:rPr>
      </w:pPr>
      <w:r>
        <w:rPr>
          <w:rFonts w:ascii="宋体" w:hAnsi="宋体"/>
          <w:szCs w:val="21"/>
        </w:rPr>
        <w:t>4)</w:t>
      </w:r>
      <w:r>
        <w:rPr>
          <w:rFonts w:hint="eastAsia" w:ascii="宋体" w:hAnsi="宋体"/>
          <w:szCs w:val="21"/>
        </w:rPr>
        <w:t>发现竞价标的存在违反法律法规、政府规章规定不得转让或应当中止转让的或发现竞价人竞价存在违法或违规情形可能会影响到竞价活动的公开、公平、公正进行的；</w:t>
      </w:r>
    </w:p>
    <w:p>
      <w:pPr>
        <w:autoSpaceDE w:val="0"/>
        <w:autoSpaceDN w:val="0"/>
        <w:adjustRightInd w:val="0"/>
        <w:snapToGrid w:val="0"/>
        <w:spacing w:line="360" w:lineRule="exact"/>
        <w:ind w:firstLine="420" w:firstLineChars="200"/>
        <w:rPr>
          <w:rFonts w:ascii="宋体"/>
          <w:szCs w:val="21"/>
        </w:rPr>
      </w:pPr>
      <w:r>
        <w:rPr>
          <w:rFonts w:ascii="宋体" w:hAnsi="宋体"/>
          <w:szCs w:val="21"/>
        </w:rPr>
        <w:t>5)</w:t>
      </w:r>
      <w:r>
        <w:rPr>
          <w:rFonts w:hint="eastAsia" w:ascii="宋体" w:hAnsi="宋体"/>
          <w:szCs w:val="21"/>
        </w:rPr>
        <w:t>其它甲方认为需要中止或终结竞价活动的情形。</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竞价活动中止、终结或竞价结果为无效的，甲方可择期按其它公开、公平、公正的方式重新竞价，相关事宜将另行通知各竞价人。</w:t>
      </w:r>
    </w:p>
    <w:p>
      <w:pPr>
        <w:autoSpaceDE w:val="0"/>
        <w:autoSpaceDN w:val="0"/>
        <w:adjustRightInd w:val="0"/>
        <w:snapToGrid w:val="0"/>
        <w:spacing w:line="360" w:lineRule="exact"/>
        <w:ind w:firstLine="420" w:firstLineChars="200"/>
        <w:rPr>
          <w:rFonts w:ascii="宋体" w:hAnsi="宋体"/>
          <w:szCs w:val="21"/>
        </w:rPr>
      </w:pPr>
      <w:r>
        <w:rPr>
          <w:rFonts w:ascii="宋体" w:hAnsi="宋体"/>
          <w:szCs w:val="21"/>
        </w:rPr>
        <w:t>3</w:t>
      </w:r>
      <w:r>
        <w:rPr>
          <w:rFonts w:hint="eastAsia" w:ascii="宋体" w:hAnsi="宋体"/>
          <w:szCs w:val="21"/>
        </w:rPr>
        <w:t>、因竞价人如下行为产生的一切后果，甲方不承担任何责任</w:t>
      </w:r>
      <w:r>
        <w:rPr>
          <w:rFonts w:ascii="宋体" w:hAnsi="宋体"/>
          <w:szCs w:val="21"/>
        </w:rPr>
        <w:t>:</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所提交的信息不真实、不准确或不完整的；</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未及时关注甲方、委托人发布的竞价活动相关的公告，未及时登录系统参加竞价的；</w:t>
      </w:r>
    </w:p>
    <w:p>
      <w:pPr>
        <w:autoSpaceDE w:val="0"/>
        <w:autoSpaceDN w:val="0"/>
        <w:adjustRightInd w:val="0"/>
        <w:snapToGrid w:val="0"/>
        <w:spacing w:line="360" w:lineRule="exact"/>
        <w:ind w:firstLine="420" w:firstLineChars="200"/>
        <w:rPr>
          <w:rFonts w:ascii="宋体" w:hAnsi="宋体"/>
          <w:szCs w:val="21"/>
        </w:rPr>
      </w:pPr>
      <w:r>
        <w:rPr>
          <w:rFonts w:ascii="宋体" w:hAnsi="宋体"/>
          <w:szCs w:val="21"/>
        </w:rPr>
        <w:t>3)</w:t>
      </w:r>
      <w:r>
        <w:rPr>
          <w:rFonts w:hint="eastAsia" w:ascii="宋体" w:hAnsi="宋体"/>
          <w:szCs w:val="21"/>
        </w:rPr>
        <w:t>竞价人因以下原因未能登录系统参加竞价的</w:t>
      </w:r>
      <w:r>
        <w:rPr>
          <w:rFonts w:ascii="宋体" w:hAnsi="宋体"/>
          <w:szCs w:val="21"/>
        </w:rPr>
        <w:t>:</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自身报价终端设备故障和互联网络异常；</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自身通信设备故障；</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移动通信运营商与用户之间的通信故障导致用户未能及时接收系统短信验证码。</w:t>
      </w:r>
    </w:p>
    <w:p>
      <w:pPr>
        <w:autoSpaceDE w:val="0"/>
        <w:autoSpaceDN w:val="0"/>
        <w:adjustRightInd w:val="0"/>
        <w:snapToGrid w:val="0"/>
        <w:spacing w:line="360" w:lineRule="exact"/>
        <w:ind w:firstLine="420" w:firstLineChars="200"/>
        <w:rPr>
          <w:rFonts w:ascii="宋体"/>
          <w:szCs w:val="21"/>
        </w:rPr>
      </w:pPr>
      <w:r>
        <w:rPr>
          <w:rFonts w:ascii="宋体" w:hAnsi="宋体"/>
          <w:szCs w:val="21"/>
        </w:rPr>
        <w:t>(4)</w:t>
      </w:r>
      <w:r>
        <w:rPr>
          <w:rFonts w:hint="eastAsia" w:ascii="宋体" w:hAnsi="宋体"/>
          <w:szCs w:val="21"/>
        </w:rPr>
        <w:t>竞价人自身终端设备时间与竞价系统服务器不符的</w:t>
      </w:r>
      <w:r>
        <w:rPr>
          <w:rFonts w:ascii="宋体" w:hAnsi="宋体"/>
          <w:szCs w:val="21"/>
        </w:rPr>
        <w:t>(</w:t>
      </w:r>
      <w:r>
        <w:rPr>
          <w:rFonts w:hint="eastAsia" w:ascii="宋体" w:hAnsi="宋体"/>
          <w:szCs w:val="21"/>
        </w:rPr>
        <w:t>竞价活动的时间以竞价系统服务器时间为准</w:t>
      </w:r>
      <w:r>
        <w:rPr>
          <w:rFonts w:ascii="宋体" w:hAnsi="宋体"/>
          <w:szCs w:val="21"/>
        </w:rPr>
        <w:t>)</w:t>
      </w:r>
      <w:r>
        <w:rPr>
          <w:rFonts w:hint="eastAsia" w:ascii="宋体" w:hAnsi="宋体"/>
          <w:szCs w:val="21"/>
        </w:rPr>
        <w:t>。</w:t>
      </w:r>
    </w:p>
    <w:p>
      <w:pPr>
        <w:autoSpaceDE w:val="0"/>
        <w:autoSpaceDN w:val="0"/>
        <w:adjustRightInd w:val="0"/>
        <w:snapToGrid w:val="0"/>
        <w:spacing w:line="360" w:lineRule="exact"/>
        <w:ind w:firstLine="420" w:firstLineChars="200"/>
        <w:rPr>
          <w:rFonts w:ascii="宋体"/>
          <w:szCs w:val="21"/>
        </w:rPr>
      </w:pPr>
      <w:r>
        <w:rPr>
          <w:rFonts w:ascii="宋体" w:hAnsi="宋体"/>
          <w:szCs w:val="21"/>
        </w:rPr>
        <w:t>4</w:t>
      </w:r>
      <w:r>
        <w:rPr>
          <w:rFonts w:hint="eastAsia" w:ascii="宋体" w:hAnsi="宋体"/>
          <w:szCs w:val="21"/>
        </w:rPr>
        <w:t>、网上竞价风险</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互联网是全球公共网络，并不受任何一个机构所控制。数据在互联网上传输的途径不是完全确定的。互联网本身并不是绝对安全可靠的环境。</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在互联网上传输的数据有可能被某些个人、团体或机构通过某种渠道获得。</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互联网上的数据传输可能因通信繁忙出现延迟，或因其他原因出现停顿、中断或数据不完全、数据错误等情况，从而使系统服务出现延迟、停顿或中断。</w:t>
      </w:r>
    </w:p>
    <w:p>
      <w:pPr>
        <w:autoSpaceDE w:val="0"/>
        <w:autoSpaceDN w:val="0"/>
        <w:adjustRightInd w:val="0"/>
        <w:snapToGrid w:val="0"/>
        <w:spacing w:line="360" w:lineRule="exact"/>
        <w:ind w:firstLine="420" w:firstLineChars="200"/>
        <w:rPr>
          <w:rFonts w:ascii="宋体"/>
          <w:szCs w:val="21"/>
        </w:rPr>
      </w:pPr>
      <w:r>
        <w:rPr>
          <w:rFonts w:ascii="宋体" w:hAnsi="宋体"/>
          <w:szCs w:val="21"/>
        </w:rPr>
        <w:t>4)</w:t>
      </w:r>
      <w:r>
        <w:rPr>
          <w:rFonts w:hint="eastAsia" w:ascii="宋体" w:hAnsi="宋体"/>
          <w:szCs w:val="21"/>
        </w:rPr>
        <w:t>互联网上发布的各种信息可能出现错误。</w:t>
      </w:r>
    </w:p>
    <w:p>
      <w:pPr>
        <w:autoSpaceDE w:val="0"/>
        <w:autoSpaceDN w:val="0"/>
        <w:adjustRightInd w:val="0"/>
        <w:snapToGrid w:val="0"/>
        <w:spacing w:line="360" w:lineRule="exact"/>
        <w:ind w:firstLine="420" w:firstLineChars="200"/>
        <w:rPr>
          <w:rFonts w:ascii="宋体"/>
          <w:szCs w:val="21"/>
        </w:rPr>
      </w:pPr>
      <w:r>
        <w:rPr>
          <w:rFonts w:ascii="宋体" w:hAnsi="宋体"/>
          <w:szCs w:val="21"/>
        </w:rPr>
        <w:t>5)</w:t>
      </w:r>
      <w:r>
        <w:rPr>
          <w:rFonts w:hint="eastAsia" w:ascii="宋体" w:hAnsi="宋体"/>
          <w:szCs w:val="21"/>
        </w:rPr>
        <w:t>竞价人在系统上身份可能会被仿冒。网上竞价人自身计算机性能、质量、病毒、故障及其他原因，可能会影响响应时间或数据，给甲方和委托人带来损失。</w:t>
      </w:r>
    </w:p>
    <w:p>
      <w:pPr>
        <w:autoSpaceDE w:val="0"/>
        <w:autoSpaceDN w:val="0"/>
        <w:adjustRightInd w:val="0"/>
        <w:snapToGrid w:val="0"/>
        <w:spacing w:line="360" w:lineRule="exact"/>
        <w:ind w:firstLine="420" w:firstLineChars="200"/>
        <w:rPr>
          <w:rFonts w:ascii="宋体"/>
          <w:szCs w:val="21"/>
        </w:rPr>
      </w:pPr>
      <w:r>
        <w:rPr>
          <w:rFonts w:ascii="宋体" w:hAnsi="宋体"/>
          <w:szCs w:val="21"/>
        </w:rPr>
        <w:t>6)</w:t>
      </w:r>
      <w:r>
        <w:rPr>
          <w:rFonts w:hint="eastAsia" w:ascii="宋体" w:hAnsi="宋体"/>
          <w:szCs w:val="21"/>
        </w:rPr>
        <w:t>竞价人自身计算机应用操作能力及互联网知识的缺乏带来损失。</w:t>
      </w:r>
    </w:p>
    <w:p>
      <w:pPr>
        <w:autoSpaceDE w:val="0"/>
        <w:autoSpaceDN w:val="0"/>
        <w:adjustRightInd w:val="0"/>
        <w:snapToGrid w:val="0"/>
        <w:spacing w:line="360" w:lineRule="exact"/>
        <w:ind w:firstLine="420" w:firstLineChars="200"/>
        <w:rPr>
          <w:rFonts w:ascii="宋体"/>
          <w:szCs w:val="21"/>
        </w:rPr>
      </w:pPr>
      <w:r>
        <w:rPr>
          <w:rFonts w:ascii="宋体" w:hAnsi="宋体"/>
          <w:szCs w:val="21"/>
        </w:rPr>
        <w:t>7)</w:t>
      </w:r>
      <w:r>
        <w:rPr>
          <w:rFonts w:hint="eastAsia" w:ascii="宋体" w:hAnsi="宋体"/>
          <w:szCs w:val="21"/>
        </w:rPr>
        <w:t>竞价人自身的疏乎造成账号或密码泄漏，可能会给甲方造成损失。</w:t>
      </w:r>
    </w:p>
    <w:p>
      <w:pPr>
        <w:autoSpaceDE w:val="0"/>
        <w:autoSpaceDN w:val="0"/>
        <w:adjustRightInd w:val="0"/>
        <w:snapToGrid w:val="0"/>
        <w:spacing w:line="360" w:lineRule="exact"/>
        <w:ind w:firstLine="420" w:firstLineChars="200"/>
        <w:rPr>
          <w:rFonts w:ascii="宋体"/>
          <w:szCs w:val="21"/>
        </w:rPr>
      </w:pPr>
      <w:r>
        <w:rPr>
          <w:rFonts w:ascii="宋体" w:hAnsi="宋体"/>
          <w:szCs w:val="21"/>
        </w:rPr>
        <w:t>8)</w:t>
      </w:r>
      <w:r>
        <w:rPr>
          <w:rFonts w:hint="eastAsia" w:ascii="宋体" w:hAnsi="宋体"/>
          <w:szCs w:val="21"/>
        </w:rPr>
        <w:t>竞价人必须充分估计上述原因导致网上出价不同所带来的风险，如果发生上述情况以及本人操作差错所造成的损失由竞价人承担，甲方不负有任何责任。</w:t>
      </w:r>
    </w:p>
    <w:p>
      <w:pPr>
        <w:autoSpaceDE w:val="0"/>
        <w:autoSpaceDN w:val="0"/>
        <w:adjustRightInd w:val="0"/>
        <w:snapToGrid w:val="0"/>
        <w:spacing w:line="360" w:lineRule="exact"/>
        <w:rPr>
          <w:rFonts w:ascii="宋体"/>
          <w:b/>
          <w:szCs w:val="21"/>
        </w:rPr>
      </w:pPr>
      <w:r>
        <w:rPr>
          <w:rFonts w:hint="eastAsia" w:ascii="宋体" w:hAnsi="宋体"/>
          <w:b/>
          <w:szCs w:val="21"/>
        </w:rPr>
        <w:t>八、成交价款、竞价佣金</w:t>
      </w:r>
    </w:p>
    <w:p>
      <w:pPr>
        <w:tabs>
          <w:tab w:val="left" w:pos="720"/>
        </w:tabs>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竞价成交后，乙方应在三个工作日内自行下载打印《成交结果确认书》一式五份并签字/签章后至甲方所在地完成《成交结果确认书》的签署，也可采用邮寄方式完成签署。乙方应在竞价结果公示期结束后，标的管理部门通知的签约时间之日起五个工作日内凭甲方盖章后的《成交结果确认书》与委托人签订《房屋租赁合同》(含租赁相关文件等)并按《房屋租赁合同》条款约特定委托人支付租金及履约保证金。成交人不签或拒签相关成交文件，并不免除其应承担的相应法律责任。</w:t>
      </w:r>
    </w:p>
    <w:p>
      <w:pPr>
        <w:autoSpaceDE w:val="0"/>
        <w:autoSpaceDN w:val="0"/>
        <w:adjustRightInd w:val="0"/>
        <w:snapToGrid w:val="0"/>
        <w:spacing w:line="360" w:lineRule="exact"/>
        <w:ind w:firstLine="412" w:firstLineChars="200"/>
        <w:rPr>
          <w:rFonts w:ascii="宋体"/>
          <w:szCs w:val="21"/>
        </w:rPr>
      </w:pPr>
      <w:r>
        <w:rPr>
          <w:rFonts w:hint="eastAsia" w:ascii="宋体" w:hAnsi="宋体" w:cs="微软雅黑"/>
          <w:spacing w:val="-2"/>
          <w:szCs w:val="21"/>
        </w:rPr>
        <w:t>甲方收件地址</w:t>
      </w:r>
      <w:r>
        <w:rPr>
          <w:rFonts w:ascii="宋体" w:hAnsi="宋体"/>
          <w:spacing w:val="-2"/>
          <w:szCs w:val="21"/>
        </w:rPr>
        <w:t>:</w:t>
      </w:r>
      <w:r>
        <w:rPr>
          <w:rFonts w:hint="eastAsia" w:ascii="宋体" w:hAnsi="宋体" w:cs="微软雅黑"/>
          <w:spacing w:val="-2"/>
          <w:szCs w:val="21"/>
        </w:rPr>
        <w:t>厦门市湖滨北路</w:t>
      </w:r>
      <w:r>
        <w:rPr>
          <w:rFonts w:hint="eastAsia" w:ascii="宋体" w:hAnsi="宋体"/>
          <w:spacing w:val="-2"/>
          <w:szCs w:val="21"/>
        </w:rPr>
        <w:t>28</w:t>
      </w:r>
      <w:r>
        <w:rPr>
          <w:rFonts w:hint="eastAsia" w:ascii="宋体" w:hAnsi="宋体" w:cs="微软雅黑"/>
          <w:spacing w:val="-2"/>
          <w:szCs w:val="21"/>
        </w:rPr>
        <w:t>号建业</w:t>
      </w:r>
      <w:r>
        <w:rPr>
          <w:rFonts w:hint="eastAsia" w:ascii="宋体" w:hAnsi="宋体"/>
          <w:spacing w:val="-2"/>
          <w:szCs w:val="21"/>
        </w:rPr>
        <w:t>大厦21楼</w:t>
      </w:r>
      <w:r>
        <w:rPr>
          <w:rFonts w:ascii="宋体" w:hAnsi="宋体"/>
          <w:spacing w:val="-2"/>
          <w:szCs w:val="21"/>
        </w:rPr>
        <w:t>(</w:t>
      </w:r>
      <w:r>
        <w:rPr>
          <w:rFonts w:hint="eastAsia" w:ascii="宋体" w:hAnsi="宋体" w:cs="微软雅黑"/>
          <w:spacing w:val="-2"/>
          <w:szCs w:val="21"/>
        </w:rPr>
        <w:t>福建省宸万和拍卖行有限公司</w:t>
      </w:r>
      <w:r>
        <w:rPr>
          <w:rFonts w:ascii="宋体" w:hAnsi="宋体"/>
          <w:spacing w:val="-2"/>
          <w:szCs w:val="21"/>
        </w:rPr>
        <w:t>)</w:t>
      </w:r>
      <w:r>
        <w:rPr>
          <w:rFonts w:hint="eastAsia" w:ascii="宋体" w:hAnsi="宋体"/>
          <w:spacing w:val="-2"/>
          <w:szCs w:val="21"/>
        </w:rPr>
        <w:t>，</w:t>
      </w:r>
      <w:r>
        <w:rPr>
          <w:rFonts w:hint="eastAsia" w:ascii="宋体" w:hAnsi="宋体" w:cs="微软雅黑"/>
          <w:spacing w:val="-2"/>
          <w:szCs w:val="21"/>
        </w:rPr>
        <w:t>收件人</w:t>
      </w:r>
      <w:r>
        <w:rPr>
          <w:rFonts w:ascii="宋体" w:hAnsi="宋体"/>
          <w:spacing w:val="-2"/>
          <w:szCs w:val="21"/>
        </w:rPr>
        <w:t>:</w:t>
      </w:r>
      <w:r>
        <w:rPr>
          <w:rFonts w:hint="eastAsia" w:ascii="宋体" w:hAnsi="宋体" w:cs="微软雅黑"/>
          <w:spacing w:val="-2"/>
          <w:szCs w:val="21"/>
        </w:rPr>
        <w:t>陈建峰</w:t>
      </w:r>
      <w:r>
        <w:rPr>
          <w:rFonts w:hint="eastAsia" w:ascii="宋体" w:hAnsi="宋体"/>
          <w:spacing w:val="-2"/>
          <w:szCs w:val="21"/>
        </w:rPr>
        <w:t>，</w:t>
      </w:r>
      <w:r>
        <w:rPr>
          <w:rFonts w:hint="eastAsia" w:ascii="宋体" w:hAnsi="宋体" w:cs="微软雅黑"/>
          <w:spacing w:val="-2"/>
          <w:szCs w:val="21"/>
        </w:rPr>
        <w:t>联系电话</w:t>
      </w:r>
      <w:r>
        <w:rPr>
          <w:rFonts w:ascii="宋体" w:hAnsi="宋体"/>
          <w:spacing w:val="-2"/>
          <w:szCs w:val="21"/>
        </w:rPr>
        <w:t>:</w:t>
      </w:r>
      <w:r>
        <w:rPr>
          <w:rFonts w:hint="eastAsia" w:ascii="宋体" w:hAnsi="宋体"/>
          <w:spacing w:val="-2"/>
          <w:szCs w:val="21"/>
        </w:rPr>
        <w:t>18859297892。</w:t>
      </w:r>
    </w:p>
    <w:p>
      <w:pPr>
        <w:tabs>
          <w:tab w:val="left" w:pos="900"/>
        </w:tabs>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、竞价佣金：竞价成交后，按每项标的成交总额，以以下标准累进计算竞价佣金：标的成交总额在</w:t>
      </w:r>
      <w:r>
        <w:rPr>
          <w:rFonts w:ascii="宋体" w:hAnsi="宋体"/>
          <w:szCs w:val="21"/>
        </w:rPr>
        <w:t>100</w:t>
      </w:r>
      <w:r>
        <w:rPr>
          <w:rFonts w:hint="eastAsia" w:ascii="宋体" w:hAnsi="宋体"/>
          <w:szCs w:val="21"/>
        </w:rPr>
        <w:t>万元以下部分，收取</w:t>
      </w:r>
      <w:r>
        <w:rPr>
          <w:rFonts w:ascii="宋体" w:hAnsi="宋体"/>
          <w:szCs w:val="21"/>
        </w:rPr>
        <w:t>1%</w:t>
      </w:r>
      <w:r>
        <w:rPr>
          <w:rFonts w:hint="eastAsia" w:ascii="宋体" w:hAnsi="宋体"/>
          <w:szCs w:val="21"/>
        </w:rPr>
        <w:t>；超过</w:t>
      </w:r>
      <w:r>
        <w:rPr>
          <w:rFonts w:ascii="宋体" w:hAnsi="宋体"/>
          <w:szCs w:val="21"/>
        </w:rPr>
        <w:t>100</w:t>
      </w:r>
      <w:r>
        <w:rPr>
          <w:rFonts w:hint="eastAsia" w:ascii="宋体" w:hAnsi="宋体"/>
          <w:szCs w:val="21"/>
        </w:rPr>
        <w:t>万元至</w:t>
      </w:r>
      <w:r>
        <w:rPr>
          <w:rFonts w:ascii="宋体" w:hAnsi="宋体"/>
          <w:szCs w:val="21"/>
        </w:rPr>
        <w:t>500</w:t>
      </w:r>
      <w:r>
        <w:rPr>
          <w:rFonts w:hint="eastAsia" w:ascii="宋体" w:hAnsi="宋体"/>
          <w:szCs w:val="21"/>
        </w:rPr>
        <w:t>万元</w:t>
      </w:r>
      <w:r>
        <w:rPr>
          <w:rFonts w:ascii="宋体" w:hAnsi="宋体"/>
          <w:szCs w:val="21"/>
        </w:rPr>
        <w:t>(</w:t>
      </w:r>
      <w:r>
        <w:rPr>
          <w:rFonts w:hint="eastAsia" w:ascii="宋体" w:hAnsi="宋体"/>
          <w:szCs w:val="21"/>
        </w:rPr>
        <w:t>含</w:t>
      </w:r>
      <w:r>
        <w:rPr>
          <w:rFonts w:ascii="宋体" w:hAnsi="宋体"/>
          <w:szCs w:val="21"/>
        </w:rPr>
        <w:t>)</w:t>
      </w:r>
      <w:r>
        <w:rPr>
          <w:rFonts w:hint="eastAsia" w:ascii="宋体" w:hAnsi="宋体"/>
          <w:szCs w:val="21"/>
        </w:rPr>
        <w:t>的部分，收取</w:t>
      </w:r>
      <w:r>
        <w:rPr>
          <w:rFonts w:ascii="宋体" w:hAnsi="宋体"/>
          <w:szCs w:val="21"/>
        </w:rPr>
        <w:t>0.25%</w:t>
      </w:r>
      <w:r>
        <w:rPr>
          <w:rFonts w:hint="eastAsia" w:ascii="宋体" w:hAnsi="宋体"/>
          <w:szCs w:val="21"/>
        </w:rPr>
        <w:t>；超过</w:t>
      </w:r>
      <w:r>
        <w:rPr>
          <w:rFonts w:ascii="宋体" w:hAnsi="宋体"/>
          <w:szCs w:val="21"/>
        </w:rPr>
        <w:t>500</w:t>
      </w:r>
      <w:r>
        <w:rPr>
          <w:rFonts w:hint="eastAsia" w:ascii="宋体" w:hAnsi="宋体"/>
          <w:szCs w:val="21"/>
        </w:rPr>
        <w:t>万元至</w:t>
      </w:r>
      <w:r>
        <w:rPr>
          <w:rFonts w:ascii="宋体" w:hAnsi="宋体"/>
          <w:szCs w:val="21"/>
        </w:rPr>
        <w:t>1000</w:t>
      </w:r>
      <w:r>
        <w:rPr>
          <w:rFonts w:hint="eastAsia" w:ascii="宋体" w:hAnsi="宋体"/>
          <w:szCs w:val="21"/>
        </w:rPr>
        <w:t>万元</w:t>
      </w:r>
      <w:r>
        <w:rPr>
          <w:rFonts w:ascii="宋体" w:hAnsi="宋体"/>
          <w:szCs w:val="21"/>
        </w:rPr>
        <w:t>(</w:t>
      </w:r>
      <w:r>
        <w:rPr>
          <w:rFonts w:hint="eastAsia" w:ascii="宋体" w:hAnsi="宋体"/>
          <w:szCs w:val="21"/>
        </w:rPr>
        <w:t>含</w:t>
      </w:r>
      <w:r>
        <w:rPr>
          <w:rFonts w:ascii="宋体" w:hAnsi="宋体"/>
          <w:szCs w:val="21"/>
        </w:rPr>
        <w:t>)</w:t>
      </w:r>
      <w:r>
        <w:rPr>
          <w:rFonts w:hint="eastAsia" w:ascii="宋体" w:hAnsi="宋体"/>
          <w:szCs w:val="21"/>
        </w:rPr>
        <w:t>的部分，收取</w:t>
      </w:r>
      <w:r>
        <w:rPr>
          <w:rFonts w:ascii="宋体" w:hAnsi="宋体"/>
          <w:szCs w:val="21"/>
        </w:rPr>
        <w:t>0.2%</w:t>
      </w:r>
      <w:r>
        <w:rPr>
          <w:rFonts w:hint="eastAsia" w:ascii="宋体" w:hAnsi="宋体"/>
          <w:szCs w:val="21"/>
        </w:rPr>
        <w:t>；超过</w:t>
      </w:r>
      <w:r>
        <w:rPr>
          <w:rFonts w:ascii="宋体" w:hAnsi="宋体"/>
          <w:szCs w:val="21"/>
        </w:rPr>
        <w:t>1000</w:t>
      </w:r>
      <w:r>
        <w:rPr>
          <w:rFonts w:hint="eastAsia" w:ascii="宋体" w:hAnsi="宋体"/>
          <w:szCs w:val="21"/>
        </w:rPr>
        <w:t>万元至</w:t>
      </w:r>
      <w:r>
        <w:rPr>
          <w:rFonts w:ascii="宋体" w:hAnsi="宋体"/>
          <w:szCs w:val="21"/>
        </w:rPr>
        <w:t>5000</w:t>
      </w:r>
      <w:r>
        <w:rPr>
          <w:rFonts w:hint="eastAsia" w:ascii="宋体" w:hAnsi="宋体"/>
          <w:szCs w:val="21"/>
        </w:rPr>
        <w:t>万元</w:t>
      </w:r>
      <w:r>
        <w:rPr>
          <w:rFonts w:ascii="宋体" w:hAnsi="宋体"/>
          <w:szCs w:val="21"/>
        </w:rPr>
        <w:t>(</w:t>
      </w:r>
      <w:r>
        <w:rPr>
          <w:rFonts w:hint="eastAsia" w:ascii="宋体" w:hAnsi="宋体"/>
          <w:szCs w:val="21"/>
        </w:rPr>
        <w:t>含</w:t>
      </w:r>
      <w:r>
        <w:rPr>
          <w:rFonts w:ascii="宋体" w:hAnsi="宋体"/>
          <w:szCs w:val="21"/>
        </w:rPr>
        <w:t>)</w:t>
      </w:r>
      <w:r>
        <w:rPr>
          <w:rFonts w:hint="eastAsia" w:ascii="宋体" w:hAnsi="宋体"/>
          <w:szCs w:val="21"/>
        </w:rPr>
        <w:t>的部分，收取</w:t>
      </w:r>
      <w:r>
        <w:rPr>
          <w:rFonts w:ascii="宋体" w:hAnsi="宋体"/>
          <w:szCs w:val="21"/>
        </w:rPr>
        <w:t>0.025%</w:t>
      </w:r>
      <w:r>
        <w:rPr>
          <w:rFonts w:hint="eastAsia" w:ascii="宋体" w:hAnsi="宋体"/>
          <w:szCs w:val="21"/>
        </w:rPr>
        <w:t>；超过</w:t>
      </w:r>
      <w:r>
        <w:rPr>
          <w:rFonts w:ascii="宋体" w:hAnsi="宋体"/>
          <w:szCs w:val="21"/>
        </w:rPr>
        <w:t>5000</w:t>
      </w:r>
      <w:r>
        <w:rPr>
          <w:rFonts w:hint="eastAsia" w:ascii="宋体" w:hAnsi="宋体"/>
          <w:szCs w:val="21"/>
        </w:rPr>
        <w:t>万元的部分，收取</w:t>
      </w:r>
      <w:r>
        <w:rPr>
          <w:rFonts w:ascii="宋体" w:hAnsi="宋体"/>
          <w:szCs w:val="21"/>
        </w:rPr>
        <w:t>0.02%</w:t>
      </w:r>
      <w:r>
        <w:rPr>
          <w:rFonts w:hint="eastAsia" w:ascii="宋体" w:hAnsi="宋体"/>
          <w:szCs w:val="21"/>
        </w:rPr>
        <w:t>。成交人须在签订《房屋租赁合同》后三个工作日内向代理人支付竞价佣金，该笔佣金甲方有权从留存至甲方的履约保证金中扣划。</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、付款期限：竞价成交后，最终中标人须按本协议及《房屋租赁合同》约定支付成交标的价款及佣金。</w:t>
      </w:r>
    </w:p>
    <w:p>
      <w:pPr>
        <w:autoSpaceDE w:val="0"/>
        <w:autoSpaceDN w:val="0"/>
        <w:adjustRightInd w:val="0"/>
        <w:snapToGrid w:val="0"/>
        <w:spacing w:line="360" w:lineRule="exact"/>
        <w:rPr>
          <w:rFonts w:ascii="宋体"/>
          <w:b/>
          <w:szCs w:val="21"/>
        </w:rPr>
      </w:pPr>
      <w:r>
        <w:rPr>
          <w:rFonts w:hint="eastAsia" w:ascii="宋体" w:hAnsi="宋体"/>
          <w:b/>
          <w:szCs w:val="21"/>
        </w:rPr>
        <w:t>九、竞价标的的交付与转移</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1、竞价成交，最终中标人在本协议约定的期限内与委托人签订《房屋租赁合同》后，按《房屋租赁合同》条款约定办理标的移交手续，乙方因装修和使用租赁物而产生的全部税、费由乙方自行承担，包括但不限于：水费、电费、煤气</w:t>
      </w:r>
      <w:r>
        <w:rPr>
          <w:rFonts w:ascii="宋体" w:hAnsi="宋体"/>
          <w:szCs w:val="21"/>
        </w:rPr>
        <w:t>/</w:t>
      </w:r>
      <w:r>
        <w:rPr>
          <w:rFonts w:hint="eastAsia" w:ascii="宋体" w:hAnsi="宋体"/>
          <w:szCs w:val="21"/>
        </w:rPr>
        <w:t>燃气、通讯</w:t>
      </w:r>
      <w:r>
        <w:rPr>
          <w:rFonts w:ascii="宋体" w:hAnsi="宋体"/>
          <w:szCs w:val="21"/>
        </w:rPr>
        <w:t>/</w:t>
      </w:r>
      <w:r>
        <w:rPr>
          <w:rFonts w:hint="eastAsia" w:ascii="宋体" w:hAnsi="宋体"/>
          <w:szCs w:val="21"/>
        </w:rPr>
        <w:t>网络、有线电视、空调费、公共维修金、垃圾处理费、公摊水电费、热水、停车费</w:t>
      </w:r>
      <w:r>
        <w:rPr>
          <w:rFonts w:ascii="宋体" w:hAnsi="宋体"/>
          <w:szCs w:val="21"/>
        </w:rPr>
        <w:t>(</w:t>
      </w:r>
      <w:r>
        <w:rPr>
          <w:rFonts w:hint="eastAsia" w:ascii="宋体" w:hAnsi="宋体"/>
          <w:szCs w:val="21"/>
        </w:rPr>
        <w:t>若有</w:t>
      </w:r>
      <w:r>
        <w:rPr>
          <w:rFonts w:ascii="宋体" w:hAnsi="宋体"/>
          <w:szCs w:val="21"/>
        </w:rPr>
        <w:t>)</w:t>
      </w:r>
      <w:r>
        <w:rPr>
          <w:rFonts w:hint="eastAsia" w:ascii="宋体" w:hAnsi="宋体"/>
          <w:szCs w:val="21"/>
        </w:rPr>
        <w:t>等费用及与乙方经营有关的其他全部税、费。因国家政策调整而不可预见的税费等一律由乙方承担。</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szCs w:val="21"/>
        </w:rPr>
        <w:t>2、乙方若要求水、电、空调、通讯等公用事业供应扩容，须事先征得甲方同意，并报有关部门批准</w:t>
      </w:r>
      <w:r>
        <w:rPr>
          <w:rFonts w:hint="eastAsia" w:ascii="宋体" w:hAnsi="宋体"/>
          <w:color w:val="000000" w:themeColor="text1"/>
          <w:szCs w:val="21"/>
          <w14:textFill>
            <w14:solidFill>
              <w14:schemeClr w14:val="tx1"/>
            </w14:solidFill>
          </w14:textFill>
        </w:rPr>
        <w:t>后方可实施扩容工程，因此发生的全部费用</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包括甲方配合乙方进行管线调整等</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及风险由乙方承担。</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人应在成交结果公示期满后的5个工作日内与标的管理部门签订《房屋租赁合同》，但若本次竞价标的在本公告发布时处于非空置状态，且中标人在本次竞价中不享有优先承租权，则标的管理部门将在成交结果公示期满后的30个自然日内组织中标人签订房屋租赁合同，并按房屋腾退后的现状移交。具体签约时间和地点以标的管理部门发出的通知短信/电话为准。中标人如需调整签约时间应提前向标的管理部门提出申请，但需在标的管理部门通知的时间之日起5个工作日内完成签约，若中标人延期签订合同时间超过标的管理部门通知的时间5个工作日的，拍卖行有权取消中标人中标资格，竞标保证金不予退还，竞标标的另行招租。</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本次竞价标的中，滨水一里75号、滨水一里76号、滨水一里78号、金益三里1号119、金益三里9号103、金益三里9号104、金益三里9号107、龙湫二路5号、龙湫二路9号、龙湫二路11号有原承租人，原承租人在报名有效期内报名参加对应标的的竞价，在同一价位享有优先承租权。</w:t>
      </w:r>
    </w:p>
    <w:p>
      <w:pPr>
        <w:numPr>
          <w:ilvl w:val="0"/>
          <w:numId w:val="2"/>
        </w:num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甲方的提示和说明</w:t>
      </w:r>
    </w:p>
    <w:p>
      <w:pPr>
        <w:autoSpaceDE w:val="0"/>
        <w:autoSpaceDN w:val="0"/>
        <w:adjustRightInd w:val="0"/>
        <w:snapToGrid w:val="0"/>
        <w:spacing w:line="360" w:lineRule="exact"/>
        <w:ind w:firstLine="420" w:firstLineChars="200"/>
        <w:rPr>
          <w:rFonts w:ascii="宋体" w:hAns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、本批次成交标的的房屋租赁合同生效时间是2020年</w:t>
      </w:r>
      <w:r>
        <w:rPr>
          <w:rFonts w:ascii="宋体" w:hAnsi="宋体"/>
          <w:szCs w:val="21"/>
        </w:rPr>
        <w:t>8</w:t>
      </w:r>
      <w:r>
        <w:rPr>
          <w:rFonts w:hint="eastAsia" w:ascii="宋体" w:hAnsi="宋体"/>
          <w:szCs w:val="21"/>
        </w:rPr>
        <w:t>月1</w:t>
      </w:r>
      <w:r>
        <w:rPr>
          <w:rFonts w:ascii="宋体" w:hAnsi="宋体"/>
          <w:szCs w:val="21"/>
        </w:rPr>
        <w:t>7</w:t>
      </w:r>
      <w:r>
        <w:rPr>
          <w:rFonts w:hint="eastAsia" w:ascii="宋体" w:hAnsi="宋体"/>
          <w:szCs w:val="21"/>
        </w:rPr>
        <w:t>日</w:t>
      </w:r>
      <w:r>
        <w:rPr>
          <w:rFonts w:hint="eastAsia" w:ascii="宋体" w:hAnsi="宋体"/>
          <w:color w:val="000000" w:themeColor="text1"/>
          <w:szCs w:val="21"/>
          <w14:textFill>
            <w14:solidFill>
              <w14:schemeClr w14:val="tx1"/>
            </w14:solidFill>
          </w14:textFill>
        </w:rPr>
        <w:t>。</w:t>
      </w:r>
    </w:p>
    <w:p>
      <w:pPr>
        <w:autoSpaceDE w:val="0"/>
        <w:autoSpaceDN w:val="0"/>
        <w:adjustRightInd w:val="0"/>
        <w:snapToGrid w:val="0"/>
        <w:spacing w:line="360" w:lineRule="exact"/>
        <w:ind w:firstLine="420" w:firstLineChars="200"/>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2、租金收取方式：详见附件2《竞价清单》。</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3、本次招租的标的作为小区生活配套的商业用房，仅允许经营同时符合以下条件的行业：符合国家法律法规规定的行业；完全符合消防、环保等相关法律法规要求的行业；不会产生噪音扰民的行业；不会使用明火和</w:t>
      </w:r>
      <w:r>
        <w:rPr>
          <w:rFonts w:ascii="宋体" w:hAnsi="宋体"/>
          <w:szCs w:val="21"/>
        </w:rPr>
        <w:t>/</w:t>
      </w:r>
      <w:r>
        <w:rPr>
          <w:rFonts w:hint="eastAsia" w:ascii="宋体" w:hAnsi="宋体"/>
          <w:szCs w:val="21"/>
        </w:rPr>
        <w:t>或会产生油烟扰民的餐饮行业；不允许从事废品回收行业。</w:t>
      </w:r>
    </w:p>
    <w:p>
      <w:pPr>
        <w:autoSpaceDE w:val="0"/>
        <w:autoSpaceDN w:val="0"/>
        <w:adjustRightInd w:val="0"/>
        <w:snapToGrid w:val="0"/>
        <w:spacing w:line="360" w:lineRule="exact"/>
        <w:ind w:firstLine="420" w:firstLineChars="200"/>
        <w:rPr>
          <w:rFonts w:hint="eastAsia" w:ascii="宋体" w:hAnsi="宋体" w:cs="Times New Roman"/>
          <w:szCs w:val="21"/>
        </w:rPr>
      </w:pPr>
      <w:r>
        <w:rPr>
          <w:rFonts w:hint="eastAsia" w:ascii="宋体" w:hAnsi="宋体" w:cs="Times New Roman"/>
          <w:szCs w:val="21"/>
        </w:rPr>
        <w:t>4、租赁期内，以租赁房屋所在地为注册地址的商事主体，若该商事主体为个体商户，则其营业执照上的经营者为承租户本人，若该商事主体为公司法人或合伙企业则股东或合伙人之一须为承租人本人。须在开业一个月内将全部证照报招标人备案存档。</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5、甲方提示乙方，乙方应对本次竞价的标的作充分了解和必要价值判断，对自己的竞买行为负责，甲方提供的竞价资料和工作人员的介绍及评价均为参考性意见，不构成对竞价标的的任何保证。乙方不得以此为借口，作为竞价后反悔的理由，不得要求委托方和甲方修改竞价结果确认书、退回竞价成交款及竞价佣金或要求委托方和甲方给予经济赔偿。竞价标的情况以现状查勘为准，有关标的资料是对标的的一般性介绍，仅为参考性说明，不构成对标的的担保，也不具任何法律效力。标的的任何瑕疵及风险等不影响成交结果。</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6、甲方提示乙方，与该竞价标的有关数据资料以委托方提供的相关资料内容为准，由于委托方提供的相关资料不实</w:t>
      </w:r>
      <w:r>
        <w:rPr>
          <w:rFonts w:ascii="宋体" w:hAnsi="宋体"/>
          <w:szCs w:val="21"/>
        </w:rPr>
        <w:t>(</w:t>
      </w:r>
      <w:r>
        <w:rPr>
          <w:rFonts w:hint="eastAsia" w:ascii="宋体" w:hAnsi="宋体"/>
          <w:szCs w:val="21"/>
        </w:rPr>
        <w:t>包括并不仅限于权属不实、瑕疵不清等</w:t>
      </w:r>
      <w:r>
        <w:rPr>
          <w:rFonts w:ascii="宋体" w:hAnsi="宋体"/>
          <w:szCs w:val="21"/>
        </w:rPr>
        <w:t>)</w:t>
      </w:r>
      <w:r>
        <w:rPr>
          <w:rFonts w:hint="eastAsia" w:ascii="宋体" w:hAnsi="宋体"/>
          <w:szCs w:val="21"/>
        </w:rPr>
        <w:t>给乙方造成损失的，甲方不承担任何责任。</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7、甲方提示乙方，乙方应对竞价会当中自己的应价行为负责，一经应价即为有效，不得以任何理由</w:t>
      </w:r>
      <w:r>
        <w:rPr>
          <w:rFonts w:ascii="宋体" w:hAnsi="宋体"/>
          <w:szCs w:val="21"/>
        </w:rPr>
        <w:t>(</w:t>
      </w:r>
      <w:r>
        <w:rPr>
          <w:rFonts w:hint="eastAsia" w:ascii="宋体" w:hAnsi="宋体"/>
          <w:szCs w:val="21"/>
        </w:rPr>
        <w:t>包括但不仅限于其他竞价人的应价是否合理等</w:t>
      </w:r>
      <w:r>
        <w:rPr>
          <w:rFonts w:ascii="宋体" w:hAnsi="宋体"/>
          <w:szCs w:val="21"/>
        </w:rPr>
        <w:t>)</w:t>
      </w:r>
      <w:r>
        <w:rPr>
          <w:rFonts w:hint="eastAsia" w:ascii="宋体" w:hAnsi="宋体"/>
          <w:szCs w:val="21"/>
        </w:rPr>
        <w:t>对抗自己应价的法律效果。</w:t>
      </w:r>
    </w:p>
    <w:p>
      <w:pPr>
        <w:autoSpaceDE w:val="0"/>
        <w:autoSpaceDN w:val="0"/>
        <w:adjustRightInd w:val="0"/>
        <w:snapToGrid w:val="0"/>
        <w:spacing w:line="360" w:lineRule="exact"/>
        <w:ind w:firstLine="420" w:firstLineChars="200"/>
        <w:rPr>
          <w:rFonts w:ascii="宋体" w:hAnsi="宋体"/>
          <w:szCs w:val="21"/>
        </w:rPr>
      </w:pPr>
      <w:r>
        <w:rPr>
          <w:rFonts w:hint="eastAsia" w:ascii="宋体" w:hAnsi="宋体"/>
          <w:szCs w:val="21"/>
        </w:rPr>
        <w:t>8、甲方提示乙方，乙方应如实提供背景资料，倘若因乙方提供不实资料，进行虚假陈述，隐瞒事实真相，导致竞价成交后，被有权机构撤消竞价结果或竞价结果不被确认，或竞价标的无法办理登记手续，乙方将按其做出的承诺和保证，自行承担相应的法律责任及后果。</w:t>
      </w:r>
    </w:p>
    <w:p>
      <w:pPr>
        <w:autoSpaceDE w:val="0"/>
        <w:autoSpaceDN w:val="0"/>
        <w:adjustRightInd w:val="0"/>
        <w:snapToGrid w:val="0"/>
        <w:spacing w:line="360" w:lineRule="exact"/>
        <w:rPr>
          <w:rFonts w:ascii="宋体"/>
          <w:b/>
          <w:szCs w:val="21"/>
        </w:rPr>
      </w:pPr>
      <w:r>
        <w:rPr>
          <w:rFonts w:hint="eastAsia" w:ascii="宋体" w:hAnsi="宋体"/>
          <w:b/>
          <w:szCs w:val="21"/>
        </w:rPr>
        <w:t>十一、乙方的陈述和保证</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、乙方已对拟竞价标的进行了现场看样，根据自己的判断做出了充分的了解和价值判断。乙方是在完全了解与该竞价标的有关的一切信息后，自愿参加竞价的，由此产生的一切后果由乙方承担。</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、乙方参加拟竞价标的竞价，提供的所有背景资料，公允地揭示了乙方的基本情况并符合本次竞价所要求的参加竞价的条件，所有资料真实有效，且未作任何虚假陈述或隐瞒。并无条件接受相关单位</w:t>
      </w:r>
      <w:r>
        <w:rPr>
          <w:rFonts w:ascii="宋体" w:hAnsi="宋体"/>
          <w:szCs w:val="21"/>
        </w:rPr>
        <w:t>(</w:t>
      </w:r>
      <w:r>
        <w:rPr>
          <w:rFonts w:hint="eastAsia" w:ascii="宋体" w:hAnsi="宋体"/>
          <w:szCs w:val="21"/>
        </w:rPr>
        <w:t>包括但不仅限于政府部门、委托人等</w:t>
      </w:r>
      <w:r>
        <w:rPr>
          <w:rFonts w:ascii="宋体" w:hAnsi="宋体"/>
          <w:szCs w:val="21"/>
        </w:rPr>
        <w:t>)</w:t>
      </w:r>
      <w:r>
        <w:rPr>
          <w:rFonts w:hint="eastAsia" w:ascii="宋体" w:hAnsi="宋体"/>
          <w:szCs w:val="21"/>
        </w:rPr>
        <w:t>对其背景资料的审查结果，不对该结果提出任何形式的抗辩。</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、乙方应在竞价报名阶段认真审核竞价系统录入的信息</w:t>
      </w:r>
      <w:r>
        <w:rPr>
          <w:rFonts w:ascii="宋体" w:hAnsi="宋体"/>
          <w:szCs w:val="21"/>
        </w:rPr>
        <w:t>(</w:t>
      </w:r>
      <w:r>
        <w:rPr>
          <w:rFonts w:hint="eastAsia" w:ascii="宋体" w:hAnsi="宋体"/>
          <w:szCs w:val="21"/>
        </w:rPr>
        <w:t>包括但不仅限于竞价人信息、拟竞价标的信息等</w:t>
      </w:r>
      <w:r>
        <w:rPr>
          <w:rFonts w:ascii="宋体" w:hAnsi="宋体"/>
          <w:szCs w:val="21"/>
        </w:rPr>
        <w:t>)</w:t>
      </w:r>
      <w:r>
        <w:rPr>
          <w:rFonts w:hint="eastAsia" w:ascii="宋体" w:hAnsi="宋体"/>
          <w:szCs w:val="21"/>
        </w:rPr>
        <w:t>是否有误，竞价会开始当天不再接受信息更改。如竞价人在非本人竞价范围内应价的，自愿承担全部违约责任并赔偿由此给甲方以及其他利益相关者的一切损失</w:t>
      </w:r>
      <w:r>
        <w:rPr>
          <w:rFonts w:ascii="宋体" w:hAnsi="宋体"/>
          <w:szCs w:val="21"/>
        </w:rPr>
        <w:t>(</w:t>
      </w:r>
      <w:r>
        <w:rPr>
          <w:rFonts w:hint="eastAsia" w:ascii="宋体" w:hAnsi="宋体"/>
          <w:szCs w:val="21"/>
        </w:rPr>
        <w:t>包括但不仅限于因本竞买人此种行为而给甲方造成的直接损失，因诉诸法律而发生的所有诉讼费、律师费、差旅费、误工费等费用</w:t>
      </w:r>
      <w:r>
        <w:rPr>
          <w:rFonts w:ascii="宋体" w:hAnsi="宋体"/>
          <w:szCs w:val="21"/>
        </w:rPr>
        <w:t>)</w:t>
      </w:r>
      <w:r>
        <w:rPr>
          <w:rFonts w:hint="eastAsia" w:ascii="宋体" w:hAnsi="宋体"/>
          <w:szCs w:val="21"/>
        </w:rPr>
        <w:t>，并放弃追回本竞价人已缴纳的竞价保证金。</w:t>
      </w:r>
    </w:p>
    <w:p>
      <w:pPr>
        <w:autoSpaceDE w:val="0"/>
        <w:autoSpaceDN w:val="0"/>
        <w:adjustRightInd w:val="0"/>
        <w:snapToGrid w:val="0"/>
        <w:spacing w:line="360" w:lineRule="exact"/>
        <w:ind w:firstLine="420" w:firstLineChars="200"/>
        <w:rPr>
          <w:rFonts w:ascii="宋体"/>
          <w:szCs w:val="21"/>
        </w:rPr>
      </w:pPr>
      <w:r>
        <w:rPr>
          <w:rFonts w:ascii="宋体" w:hAnsi="宋体"/>
          <w:szCs w:val="21"/>
        </w:rPr>
        <w:t>4</w:t>
      </w:r>
      <w:r>
        <w:rPr>
          <w:rFonts w:hint="eastAsia" w:ascii="宋体" w:hAnsi="宋体"/>
          <w:szCs w:val="21"/>
        </w:rPr>
        <w:t>、乙方提供的所有资料真实有效，倘若乙方提供的资料弄虚作假</w:t>
      </w:r>
      <w:r>
        <w:rPr>
          <w:rFonts w:ascii="宋体" w:hAnsi="宋体"/>
          <w:szCs w:val="21"/>
        </w:rPr>
        <w:t>(</w:t>
      </w:r>
      <w:r>
        <w:rPr>
          <w:rFonts w:hint="eastAsia" w:ascii="宋体" w:hAnsi="宋体"/>
          <w:szCs w:val="21"/>
        </w:rPr>
        <w:t>包括但不仅限于提供虚假身份证明或营业执照、伪造委托书、伪造签名、不亲自登录系统应价等</w:t>
      </w:r>
      <w:r>
        <w:rPr>
          <w:rFonts w:ascii="宋体" w:hAnsi="宋体"/>
          <w:szCs w:val="21"/>
        </w:rPr>
        <w:t>)</w:t>
      </w:r>
      <w:r>
        <w:rPr>
          <w:rFonts w:hint="eastAsia" w:ascii="宋体" w:hAnsi="宋体"/>
          <w:szCs w:val="21"/>
        </w:rPr>
        <w:t>、不实或引起重大误解或有隐瞒，无论乙方是否故意，均自行承担以下可能发生的后果或承担以下相关责任</w:t>
      </w:r>
      <w:r>
        <w:rPr>
          <w:rFonts w:ascii="宋体" w:hAnsi="宋体"/>
          <w:szCs w:val="21"/>
        </w:rPr>
        <w:t>(</w:t>
      </w:r>
      <w:r>
        <w:rPr>
          <w:rFonts w:hint="eastAsia" w:ascii="宋体" w:hAnsi="宋体"/>
          <w:szCs w:val="21"/>
        </w:rPr>
        <w:t>包括全部、部分或任一</w:t>
      </w:r>
      <w:r>
        <w:rPr>
          <w:rFonts w:ascii="宋体" w:hAnsi="宋体"/>
          <w:szCs w:val="21"/>
        </w:rPr>
        <w:t>)</w:t>
      </w:r>
      <w:r>
        <w:rPr>
          <w:rFonts w:hint="eastAsia" w:ascii="宋体" w:hAnsi="宋体"/>
          <w:szCs w:val="21"/>
        </w:rPr>
        <w:t>：</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乙方竞价成功并成为拟竞价标的最终中标人，但被有权机构拒绝办理前述标的的移交手续的；</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被取消竞价人或最终中标人资格，或最终中标人资格不被确认或确认后被撤消的；</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代理人有权不予返还竞价保证金或履约保证金；</w:t>
      </w:r>
    </w:p>
    <w:p>
      <w:pPr>
        <w:autoSpaceDE w:val="0"/>
        <w:autoSpaceDN w:val="0"/>
        <w:adjustRightInd w:val="0"/>
        <w:snapToGrid w:val="0"/>
        <w:spacing w:line="360" w:lineRule="exact"/>
        <w:ind w:firstLine="420" w:firstLineChars="200"/>
        <w:rPr>
          <w:rFonts w:ascii="宋体"/>
          <w:szCs w:val="21"/>
        </w:rPr>
      </w:pPr>
      <w:r>
        <w:rPr>
          <w:rFonts w:ascii="宋体" w:hAnsi="宋体"/>
          <w:szCs w:val="21"/>
        </w:rPr>
        <w:t>4)</w:t>
      </w:r>
      <w:r>
        <w:rPr>
          <w:rFonts w:hint="eastAsia" w:ascii="宋体" w:hAnsi="宋体"/>
          <w:szCs w:val="21"/>
        </w:rPr>
        <w:t>竞价保证金外的已付款项，代理人有权要求用于赔偿各种损失</w:t>
      </w:r>
      <w:r>
        <w:rPr>
          <w:rFonts w:ascii="宋体" w:hAnsi="宋体"/>
          <w:szCs w:val="21"/>
        </w:rPr>
        <w:t>(</w:t>
      </w:r>
      <w:r>
        <w:rPr>
          <w:rFonts w:hint="eastAsia" w:ascii="宋体" w:hAnsi="宋体"/>
          <w:szCs w:val="21"/>
        </w:rPr>
        <w:t>包括因乙方背信违约，导致债务迟延而增加的债务金额，以及前述标的竞价的各项运作费用等</w:t>
      </w:r>
      <w:r>
        <w:rPr>
          <w:rFonts w:ascii="宋体" w:hAnsi="宋体"/>
          <w:szCs w:val="21"/>
        </w:rPr>
        <w:t>)</w:t>
      </w:r>
      <w:r>
        <w:rPr>
          <w:rFonts w:hint="eastAsia" w:ascii="宋体" w:hAnsi="宋体"/>
          <w:szCs w:val="21"/>
        </w:rPr>
        <w:t>；</w:t>
      </w:r>
    </w:p>
    <w:p>
      <w:pPr>
        <w:autoSpaceDE w:val="0"/>
        <w:autoSpaceDN w:val="0"/>
        <w:adjustRightInd w:val="0"/>
        <w:snapToGrid w:val="0"/>
        <w:spacing w:line="360" w:lineRule="exact"/>
        <w:ind w:firstLine="420" w:firstLineChars="200"/>
        <w:rPr>
          <w:rFonts w:ascii="宋体"/>
          <w:szCs w:val="21"/>
        </w:rPr>
      </w:pPr>
      <w:r>
        <w:rPr>
          <w:rFonts w:ascii="宋体" w:hAnsi="宋体"/>
          <w:szCs w:val="21"/>
        </w:rPr>
        <w:t>5)</w:t>
      </w:r>
      <w:r>
        <w:rPr>
          <w:rFonts w:hint="eastAsia" w:ascii="宋体" w:hAnsi="宋体"/>
          <w:szCs w:val="21"/>
        </w:rPr>
        <w:t>代理人或其它相关方有权取消乙方最终中标人资格，前述标的重新交付竞价，代理人或其它有权机关还有权要求赔偿两次竞价之间的差价；</w:t>
      </w:r>
    </w:p>
    <w:p>
      <w:pPr>
        <w:autoSpaceDE w:val="0"/>
        <w:autoSpaceDN w:val="0"/>
        <w:adjustRightInd w:val="0"/>
        <w:snapToGrid w:val="0"/>
        <w:spacing w:line="360" w:lineRule="exact"/>
        <w:ind w:firstLine="420" w:firstLineChars="200"/>
        <w:rPr>
          <w:rFonts w:ascii="宋体"/>
          <w:szCs w:val="21"/>
        </w:rPr>
      </w:pPr>
      <w:r>
        <w:rPr>
          <w:rFonts w:ascii="宋体" w:hAnsi="宋体"/>
          <w:szCs w:val="21"/>
        </w:rPr>
        <w:t>6)</w:t>
      </w:r>
      <w:r>
        <w:rPr>
          <w:rFonts w:hint="eastAsia" w:ascii="宋体" w:hAnsi="宋体"/>
          <w:szCs w:val="21"/>
        </w:rPr>
        <w:t>因诉诸法律而发生的所有费用；</w:t>
      </w:r>
    </w:p>
    <w:p>
      <w:pPr>
        <w:autoSpaceDE w:val="0"/>
        <w:autoSpaceDN w:val="0"/>
        <w:adjustRightInd w:val="0"/>
        <w:snapToGrid w:val="0"/>
        <w:spacing w:line="360" w:lineRule="exact"/>
        <w:ind w:firstLine="420" w:firstLineChars="200"/>
        <w:rPr>
          <w:rFonts w:ascii="宋体"/>
          <w:szCs w:val="21"/>
        </w:rPr>
      </w:pPr>
      <w:r>
        <w:rPr>
          <w:rFonts w:ascii="宋体" w:hAnsi="宋体"/>
          <w:szCs w:val="21"/>
        </w:rPr>
        <w:t>7)</w:t>
      </w:r>
      <w:r>
        <w:rPr>
          <w:rFonts w:hint="eastAsia" w:ascii="宋体" w:hAnsi="宋体"/>
          <w:szCs w:val="21"/>
        </w:rPr>
        <w:t>因背信违约，竞价委托人、资产所有人、代理人主张的其它权利导致的责任；</w:t>
      </w:r>
    </w:p>
    <w:p>
      <w:pPr>
        <w:autoSpaceDE w:val="0"/>
        <w:autoSpaceDN w:val="0"/>
        <w:adjustRightInd w:val="0"/>
        <w:snapToGrid w:val="0"/>
        <w:spacing w:line="360" w:lineRule="exact"/>
        <w:ind w:firstLine="420" w:firstLineChars="200"/>
        <w:rPr>
          <w:rFonts w:ascii="宋体"/>
          <w:szCs w:val="21"/>
        </w:rPr>
      </w:pPr>
      <w:r>
        <w:rPr>
          <w:rFonts w:ascii="宋体" w:hAnsi="宋体"/>
          <w:szCs w:val="21"/>
        </w:rPr>
        <w:t>5</w:t>
      </w:r>
      <w:r>
        <w:rPr>
          <w:rFonts w:hint="eastAsia" w:ascii="宋体" w:hAnsi="宋体"/>
          <w:szCs w:val="21"/>
        </w:rPr>
        <w:t>、乙方或授权代理人确认，在本协议书签订之前，已经充分了解竞价标的物的有关情况，对竞价规则已理解并接受。同时，乙方或授权代理人确认，在竞价会召开之前对所参加竞价标的现状等已作充分了解。</w:t>
      </w:r>
    </w:p>
    <w:p>
      <w:pPr>
        <w:autoSpaceDE w:val="0"/>
        <w:autoSpaceDN w:val="0"/>
        <w:adjustRightInd w:val="0"/>
        <w:snapToGrid w:val="0"/>
        <w:spacing w:line="360" w:lineRule="exact"/>
        <w:ind w:firstLine="420" w:firstLineChars="200"/>
        <w:rPr>
          <w:rFonts w:ascii="宋体"/>
          <w:szCs w:val="21"/>
        </w:rPr>
      </w:pPr>
      <w:r>
        <w:rPr>
          <w:rFonts w:ascii="宋体" w:hAnsi="宋体"/>
          <w:szCs w:val="21"/>
        </w:rPr>
        <w:t>6</w:t>
      </w:r>
      <w:r>
        <w:rPr>
          <w:rFonts w:hint="eastAsia" w:ascii="宋体" w:hAnsi="宋体"/>
          <w:szCs w:val="21"/>
        </w:rPr>
        <w:t>、在本协议签订之前，甲方已向乙方或授权委托人详实告知标的各种情况，并已对标的物的现状，以及可能存在的其它风险作了重点提示。鉴于此，乙方声明，放弃包括以重大误解或显失公平为由，向甲方提出的诉讼和索赔请求。</w:t>
      </w:r>
    </w:p>
    <w:p>
      <w:pPr>
        <w:autoSpaceDE w:val="0"/>
        <w:autoSpaceDN w:val="0"/>
        <w:adjustRightInd w:val="0"/>
        <w:snapToGrid w:val="0"/>
        <w:spacing w:line="360" w:lineRule="exact"/>
        <w:ind w:firstLine="420" w:firstLineChars="200"/>
        <w:rPr>
          <w:rFonts w:ascii="宋体"/>
          <w:szCs w:val="21"/>
        </w:rPr>
      </w:pPr>
      <w:r>
        <w:rPr>
          <w:rFonts w:ascii="宋体" w:hAnsi="宋体"/>
          <w:szCs w:val="21"/>
        </w:rPr>
        <w:t>7</w:t>
      </w:r>
      <w:r>
        <w:rPr>
          <w:rFonts w:hint="eastAsia" w:ascii="宋体" w:hAnsi="宋体"/>
          <w:szCs w:val="21"/>
        </w:rPr>
        <w:t>、以上陈述和保证均系乙方的真实意思表示。乙方保证将严格遵守本协议书第八条《甲方的提示和说明》内的所有条款，若乙方违反本协议书任何条款的约定，乙方自愿放弃追回已缴纳的竞价保证金，并不以任何理由对甲方提起诉讼。但甲方可以就乙方的违约行为向甲方所在地的人民法院提起诉讼，乙方同时承诺，自愿承担甲方因诉诸法律而发生的所有诉讼费、律师费、差旅费、误工费等一切费用。</w:t>
      </w:r>
    </w:p>
    <w:p>
      <w:pPr>
        <w:autoSpaceDE w:val="0"/>
        <w:autoSpaceDN w:val="0"/>
        <w:adjustRightInd w:val="0"/>
        <w:snapToGrid w:val="0"/>
        <w:spacing w:line="360" w:lineRule="exact"/>
        <w:ind w:firstLine="420" w:firstLineChars="200"/>
        <w:rPr>
          <w:rFonts w:ascii="宋体"/>
          <w:szCs w:val="21"/>
        </w:rPr>
      </w:pPr>
      <w:r>
        <w:rPr>
          <w:rFonts w:ascii="宋体" w:hAnsi="宋体"/>
          <w:szCs w:val="21"/>
        </w:rPr>
        <w:t>8</w:t>
      </w:r>
      <w:r>
        <w:rPr>
          <w:rFonts w:hint="eastAsia" w:ascii="宋体" w:hAnsi="宋体"/>
          <w:szCs w:val="21"/>
        </w:rPr>
        <w:t>、竞价成交后乙方与甲方签订的《成交结果确认书》与本《竞价协议书》具有同等法律效力。</w:t>
      </w:r>
    </w:p>
    <w:p>
      <w:pPr>
        <w:autoSpaceDE w:val="0"/>
        <w:autoSpaceDN w:val="0"/>
        <w:adjustRightInd w:val="0"/>
        <w:snapToGrid w:val="0"/>
        <w:spacing w:line="360" w:lineRule="exact"/>
        <w:ind w:firstLine="420" w:firstLineChars="200"/>
        <w:rPr>
          <w:rFonts w:ascii="宋体"/>
          <w:szCs w:val="21"/>
        </w:rPr>
      </w:pPr>
      <w:r>
        <w:rPr>
          <w:rFonts w:ascii="宋体" w:hAnsi="宋体"/>
          <w:szCs w:val="21"/>
        </w:rPr>
        <w:t>9</w:t>
      </w:r>
      <w:r>
        <w:rPr>
          <w:rFonts w:hint="eastAsia" w:ascii="宋体" w:hAnsi="宋体"/>
          <w:szCs w:val="21"/>
        </w:rPr>
        <w:t>、若该标的被委托人依法撤销竞价或有关权利部门执行回转，乙方应无条件服从和积极配合。</w:t>
      </w:r>
    </w:p>
    <w:p>
      <w:pPr>
        <w:autoSpaceDE w:val="0"/>
        <w:autoSpaceDN w:val="0"/>
        <w:adjustRightInd w:val="0"/>
        <w:snapToGrid w:val="0"/>
        <w:spacing w:line="360" w:lineRule="exact"/>
        <w:rPr>
          <w:rFonts w:ascii="宋体"/>
          <w:b/>
          <w:szCs w:val="21"/>
        </w:rPr>
      </w:pPr>
      <w:r>
        <w:rPr>
          <w:rFonts w:hint="eastAsia" w:ascii="宋体" w:hAnsi="宋体"/>
          <w:b/>
          <w:szCs w:val="21"/>
        </w:rPr>
        <w:t>十二、违约责任</w:t>
      </w:r>
    </w:p>
    <w:p>
      <w:pPr>
        <w:autoSpaceDE w:val="0"/>
        <w:autoSpaceDN w:val="0"/>
        <w:adjustRightInd w:val="0"/>
        <w:snapToGrid w:val="0"/>
        <w:spacing w:line="360" w:lineRule="exact"/>
        <w:ind w:firstLine="420" w:firstLineChars="200"/>
        <w:rPr>
          <w:rFonts w:ascii="宋体"/>
          <w:szCs w:val="21"/>
        </w:rPr>
      </w:pPr>
      <w:r>
        <w:rPr>
          <w:rFonts w:ascii="宋体" w:hAnsi="宋体"/>
          <w:szCs w:val="21"/>
        </w:rPr>
        <w:t>1</w:t>
      </w:r>
      <w:r>
        <w:rPr>
          <w:rFonts w:hint="eastAsia" w:ascii="宋体" w:hAnsi="宋体"/>
          <w:szCs w:val="21"/>
        </w:rPr>
        <w:t>、在竞价成交后，乙方未按本协议约定签署《成交结果确认书》及《房屋租赁合同》的视为违约，竞价保证金不予退还。</w:t>
      </w:r>
    </w:p>
    <w:p>
      <w:pPr>
        <w:autoSpaceDE w:val="0"/>
        <w:autoSpaceDN w:val="0"/>
        <w:adjustRightInd w:val="0"/>
        <w:snapToGrid w:val="0"/>
        <w:spacing w:line="360" w:lineRule="exact"/>
        <w:ind w:firstLine="420" w:firstLineChars="200"/>
        <w:rPr>
          <w:rFonts w:ascii="宋体"/>
          <w:szCs w:val="21"/>
        </w:rPr>
      </w:pPr>
      <w:r>
        <w:rPr>
          <w:rFonts w:ascii="宋体" w:hAnsi="宋体"/>
          <w:szCs w:val="21"/>
        </w:rPr>
        <w:t>2</w:t>
      </w:r>
      <w:r>
        <w:rPr>
          <w:rFonts w:hint="eastAsia" w:ascii="宋体" w:hAnsi="宋体"/>
          <w:szCs w:val="21"/>
        </w:rPr>
        <w:t>、如果乙方未按照第八条的规定支付成交价款的，乙方违约。如委托人同意乙方继续履行付款义务的，每迟延一日付款，乙方应向委托人支付应付款项的千分之三作为滞纳金。如委托人拒绝乙方继续履行付款义务的，乙方所交竞价保证金不予退还，竞价保证金不足以弥补委托人因乙方违约遭受的实际损失的，乙方还应当补偿该等实际损失。</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导致标的再次竞价的，按照《中华人民共和国拍卖法》的相关规定，乙方</w:t>
      </w:r>
      <w:r>
        <w:rPr>
          <w:rFonts w:ascii="宋体" w:hAnsi="宋体"/>
          <w:szCs w:val="21"/>
        </w:rPr>
        <w:t>(</w:t>
      </w:r>
      <w:r>
        <w:rPr>
          <w:rFonts w:hint="eastAsia" w:ascii="宋体" w:hAnsi="宋体"/>
          <w:szCs w:val="21"/>
        </w:rPr>
        <w:t>最终中标人</w:t>
      </w:r>
      <w:r>
        <w:rPr>
          <w:rFonts w:ascii="宋体" w:hAnsi="宋体"/>
          <w:szCs w:val="21"/>
        </w:rPr>
        <w:t>)</w:t>
      </w:r>
      <w:r>
        <w:rPr>
          <w:rFonts w:hint="eastAsia" w:ascii="宋体" w:hAnsi="宋体"/>
          <w:szCs w:val="21"/>
        </w:rPr>
        <w:t>违约造成标的再行竞价的，应当向甲方支付第一次竞价中本人及委托人应当支付的佣金。再行竞价的价款低于原竞价款的，乙方应当补足差额。</w:t>
      </w:r>
    </w:p>
    <w:p>
      <w:pPr>
        <w:autoSpaceDE w:val="0"/>
        <w:autoSpaceDN w:val="0"/>
        <w:adjustRightInd w:val="0"/>
        <w:snapToGrid w:val="0"/>
        <w:spacing w:line="360" w:lineRule="exact"/>
        <w:ind w:firstLine="420" w:firstLineChars="200"/>
        <w:rPr>
          <w:rFonts w:ascii="宋体"/>
          <w:szCs w:val="21"/>
        </w:rPr>
      </w:pPr>
      <w:r>
        <w:rPr>
          <w:rFonts w:ascii="宋体" w:hAnsi="宋体"/>
          <w:szCs w:val="21"/>
        </w:rPr>
        <w:t>3</w:t>
      </w:r>
      <w:r>
        <w:rPr>
          <w:rFonts w:hint="eastAsia" w:ascii="宋体" w:hAnsi="宋体"/>
          <w:szCs w:val="21"/>
        </w:rPr>
        <w:t>、如果乙方未按照第六条的规定支付竞价佣金的，乙方违约。每迟延一日付款，乙方应向甲方支付应付款项的千分之三作为滞纳金。在竞价佣金全部付清前，不退还留存甲方的履约保证金。</w:t>
      </w:r>
    </w:p>
    <w:p>
      <w:pPr>
        <w:autoSpaceDE w:val="0"/>
        <w:autoSpaceDN w:val="0"/>
        <w:adjustRightInd w:val="0"/>
        <w:snapToGrid w:val="0"/>
        <w:spacing w:line="360" w:lineRule="exact"/>
        <w:ind w:firstLine="420" w:firstLineChars="200"/>
        <w:rPr>
          <w:rFonts w:ascii="宋体"/>
          <w:szCs w:val="21"/>
        </w:rPr>
      </w:pPr>
      <w:r>
        <w:rPr>
          <w:rFonts w:ascii="宋体" w:hAnsi="宋体"/>
          <w:szCs w:val="21"/>
        </w:rPr>
        <w:t>4</w:t>
      </w:r>
      <w:r>
        <w:rPr>
          <w:rFonts w:hint="eastAsia" w:ascii="宋体" w:hAnsi="宋体"/>
          <w:szCs w:val="21"/>
        </w:rPr>
        <w:t>、乙方违反其在竞价活动中所做的陈述与保证、承诺或其他义务，或其在本次竞价活动中所做的有关陈述与保证是不真实、不准确或存在重大遗漏的，甲方有权通知乙方在通知指定期限内予以补正，并要求乙方赔偿甲方及委托人因此遭受的实际损失；或者甲方有权解除本合同，甲方解除本合同的，乙方支付的竞价保证金</w:t>
      </w:r>
      <w:r>
        <w:rPr>
          <w:rFonts w:ascii="宋体" w:hAnsi="宋体"/>
          <w:szCs w:val="21"/>
        </w:rPr>
        <w:t>(</w:t>
      </w:r>
      <w:r>
        <w:rPr>
          <w:rFonts w:hint="eastAsia" w:ascii="宋体" w:hAnsi="宋体"/>
          <w:szCs w:val="21"/>
        </w:rPr>
        <w:t>成交后为履约保证金</w:t>
      </w:r>
      <w:r>
        <w:rPr>
          <w:rFonts w:ascii="宋体" w:hAnsi="宋体"/>
          <w:szCs w:val="21"/>
        </w:rPr>
        <w:t>)</w:t>
      </w:r>
      <w:r>
        <w:rPr>
          <w:rFonts w:hint="eastAsia" w:ascii="宋体" w:hAnsi="宋体"/>
          <w:szCs w:val="21"/>
        </w:rPr>
        <w:t>不予返还，前述保证金不足以弥补甲方及委托人因此遭受的实际损失的，最终中标人还应当补偿该等实际损失。</w:t>
      </w:r>
    </w:p>
    <w:p>
      <w:pPr>
        <w:autoSpaceDE w:val="0"/>
        <w:autoSpaceDN w:val="0"/>
        <w:adjustRightInd w:val="0"/>
        <w:snapToGrid w:val="0"/>
        <w:spacing w:line="360" w:lineRule="exact"/>
        <w:rPr>
          <w:rFonts w:ascii="宋体"/>
          <w:szCs w:val="21"/>
        </w:rPr>
      </w:pPr>
      <w:r>
        <w:rPr>
          <w:rFonts w:hint="eastAsia" w:ascii="宋体" w:hAnsi="宋体"/>
          <w:b/>
          <w:szCs w:val="21"/>
        </w:rPr>
        <w:t>十三、保密责任</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甲乙双方应对在竞价程序中知悉的对方商业秘密予以保密。</w:t>
      </w:r>
    </w:p>
    <w:p>
      <w:pPr>
        <w:autoSpaceDE w:val="0"/>
        <w:autoSpaceDN w:val="0"/>
        <w:adjustRightInd w:val="0"/>
        <w:snapToGrid w:val="0"/>
        <w:spacing w:line="360" w:lineRule="exact"/>
        <w:rPr>
          <w:rFonts w:ascii="宋体"/>
          <w:b/>
          <w:szCs w:val="21"/>
        </w:rPr>
      </w:pPr>
      <w:r>
        <w:rPr>
          <w:rFonts w:hint="eastAsia" w:ascii="宋体" w:hAnsi="宋体"/>
          <w:b/>
          <w:szCs w:val="21"/>
        </w:rPr>
        <w:t>十四、撤回拍卖标的</w:t>
      </w:r>
    </w:p>
    <w:p>
      <w:pPr>
        <w:autoSpaceDE w:val="0"/>
        <w:autoSpaceDN w:val="0"/>
        <w:adjustRightInd w:val="0"/>
        <w:snapToGrid w:val="0"/>
        <w:spacing w:line="360" w:lineRule="exact"/>
        <w:ind w:firstLine="420" w:firstLineChars="200"/>
        <w:rPr>
          <w:rFonts w:ascii="宋体"/>
          <w:b/>
          <w:szCs w:val="21"/>
        </w:rPr>
      </w:pPr>
      <w:r>
        <w:rPr>
          <w:rFonts w:hint="eastAsia" w:ascii="宋体" w:hAnsi="宋体"/>
          <w:szCs w:val="21"/>
        </w:rPr>
        <w:t>《中华人民共和国拍卖法》第二十九条规定“委托人可以在拍卖开始前撤回拍卖标的”。甲方仅是拍卖代理机构，如竞价前委托人撤回拍卖标的的，甲、乙双方均应无条件服从，互不承担违约责任。</w:t>
      </w:r>
    </w:p>
    <w:p>
      <w:pPr>
        <w:autoSpaceDE w:val="0"/>
        <w:autoSpaceDN w:val="0"/>
        <w:adjustRightInd w:val="0"/>
        <w:snapToGrid w:val="0"/>
        <w:spacing w:line="360" w:lineRule="exact"/>
        <w:rPr>
          <w:rFonts w:ascii="宋体"/>
          <w:b/>
          <w:szCs w:val="21"/>
        </w:rPr>
      </w:pPr>
      <w:r>
        <w:rPr>
          <w:rFonts w:hint="eastAsia" w:ascii="宋体" w:hAnsi="宋体"/>
          <w:b/>
          <w:szCs w:val="21"/>
        </w:rPr>
        <w:t>十五、法律适用与争议解决</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本合同的签订、成立、效力、解释、履行等事宜均适用中国法律。</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因本合同及本次竞价活动引起或与本合同及本次竞价活动有关的一切争议，双方均应友好协商解决；如不能解决的，任何一方均应向甲方住所地有管辖权的人民法院提起诉讼。</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如果本合同的某条款被宣布为无效，应不影响本合同任何其他条款的效力。</w:t>
      </w:r>
    </w:p>
    <w:p>
      <w:pPr>
        <w:autoSpaceDE w:val="0"/>
        <w:autoSpaceDN w:val="0"/>
        <w:adjustRightInd w:val="0"/>
        <w:snapToGrid w:val="0"/>
        <w:spacing w:line="360" w:lineRule="exact"/>
        <w:rPr>
          <w:rFonts w:ascii="宋体"/>
          <w:b/>
          <w:szCs w:val="21"/>
        </w:rPr>
      </w:pPr>
      <w:r>
        <w:rPr>
          <w:rFonts w:hint="eastAsia" w:ascii="宋体" w:hAnsi="宋体"/>
          <w:b/>
          <w:szCs w:val="21"/>
        </w:rPr>
        <w:t>十六、合同的生效</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本合同经甲、乙双方签章起生效。</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本合同一式贰份，甲方、乙方各执壹份，具有同等法律效力。</w:t>
      </w:r>
    </w:p>
    <w:p>
      <w:pPr>
        <w:autoSpaceDE w:val="0"/>
        <w:autoSpaceDN w:val="0"/>
        <w:adjustRightInd w:val="0"/>
        <w:snapToGrid w:val="0"/>
        <w:spacing w:line="360" w:lineRule="exact"/>
        <w:ind w:firstLine="420" w:firstLineChars="200"/>
        <w:rPr>
          <w:rFonts w:ascii="宋体"/>
          <w:szCs w:val="21"/>
        </w:rPr>
      </w:pPr>
      <w:r>
        <w:rPr>
          <w:rFonts w:hint="eastAsia" w:ascii="宋体" w:hAnsi="宋体"/>
          <w:szCs w:val="21"/>
        </w:rPr>
        <w:t>《房屋租赁合同样稿（商业</w:t>
      </w:r>
      <w:r>
        <w:rPr>
          <w:rFonts w:ascii="宋体" w:hAnsi="宋体"/>
          <w:szCs w:val="21"/>
        </w:rPr>
        <w:t>)</w:t>
      </w:r>
      <w:r>
        <w:rPr>
          <w:rFonts w:hint="eastAsia" w:ascii="宋体" w:hAnsi="宋体"/>
          <w:szCs w:val="21"/>
        </w:rPr>
        <w:t>》、《竞价清单》作为本协议的附件是本协议不可分割的一部分，与本合同具有同等效力。《房屋租赁合同样稿（商业</w:t>
      </w:r>
      <w:r>
        <w:rPr>
          <w:rFonts w:ascii="宋体" w:hAnsi="宋体"/>
          <w:szCs w:val="21"/>
        </w:rPr>
        <w:t>)</w:t>
      </w:r>
      <w:r>
        <w:rPr>
          <w:rFonts w:hint="eastAsia" w:ascii="宋体" w:hAnsi="宋体"/>
          <w:szCs w:val="21"/>
        </w:rPr>
        <w:t>》、《竞价清单》及相关书面文件是甲方与乙方之间权利义务的重要内容，为本协议的重要组成部分，本协议未尽事宜应按该《房屋租赁合同样稿（商业</w:t>
      </w:r>
      <w:r>
        <w:rPr>
          <w:rFonts w:ascii="宋体" w:hAnsi="宋体"/>
          <w:szCs w:val="21"/>
        </w:rPr>
        <w:t>)</w:t>
      </w:r>
      <w:r>
        <w:rPr>
          <w:rFonts w:hint="eastAsia" w:ascii="宋体" w:hAnsi="宋体"/>
          <w:szCs w:val="21"/>
        </w:rPr>
        <w:t>》、《竞价清单》执行。如有未尽事宜，双方可以签订补充协议。</w:t>
      </w:r>
    </w:p>
    <w:p>
      <w:pPr>
        <w:autoSpaceDE w:val="0"/>
        <w:autoSpaceDN w:val="0"/>
        <w:adjustRightInd w:val="0"/>
        <w:snapToGrid w:val="0"/>
        <w:spacing w:line="360" w:lineRule="exact"/>
        <w:ind w:firstLine="422" w:firstLineChars="200"/>
        <w:rPr>
          <w:rFonts w:ascii="宋体"/>
          <w:b/>
          <w:szCs w:val="21"/>
        </w:rPr>
      </w:pPr>
      <w:r>
        <w:rPr>
          <w:rFonts w:hint="eastAsia" w:ascii="宋体" w:hAnsi="宋体"/>
          <w:b/>
          <w:szCs w:val="21"/>
        </w:rPr>
        <w:t>附件</w:t>
      </w:r>
      <w:r>
        <w:rPr>
          <w:rFonts w:ascii="宋体" w:hAnsi="宋体"/>
          <w:b/>
          <w:szCs w:val="21"/>
        </w:rPr>
        <w:t>1</w:t>
      </w:r>
      <w:r>
        <w:rPr>
          <w:rFonts w:hint="eastAsia" w:ascii="宋体" w:hAnsi="宋体"/>
          <w:b/>
          <w:szCs w:val="21"/>
        </w:rPr>
        <w:t>《房屋租赁合同样稿（商业</w:t>
      </w:r>
      <w:r>
        <w:rPr>
          <w:rFonts w:ascii="宋体" w:hAnsi="宋体"/>
          <w:b/>
          <w:szCs w:val="21"/>
        </w:rPr>
        <w:t>)</w:t>
      </w:r>
      <w:r>
        <w:rPr>
          <w:rFonts w:hint="eastAsia" w:ascii="宋体" w:hAnsi="宋体"/>
          <w:b/>
          <w:szCs w:val="21"/>
        </w:rPr>
        <w:t>》</w:t>
      </w:r>
    </w:p>
    <w:p>
      <w:pPr>
        <w:autoSpaceDE w:val="0"/>
        <w:autoSpaceDN w:val="0"/>
        <w:adjustRightInd w:val="0"/>
        <w:snapToGrid w:val="0"/>
        <w:spacing w:line="360" w:lineRule="exact"/>
        <w:ind w:firstLine="422" w:firstLineChars="200"/>
        <w:rPr>
          <w:rFonts w:ascii="宋体"/>
          <w:b/>
          <w:szCs w:val="21"/>
        </w:rPr>
      </w:pPr>
      <w:r>
        <w:rPr>
          <w:rFonts w:hint="eastAsia" w:ascii="宋体" w:hAnsi="宋体"/>
          <w:b/>
          <w:szCs w:val="21"/>
        </w:rPr>
        <w:t>附件</w:t>
      </w:r>
      <w:r>
        <w:rPr>
          <w:rFonts w:ascii="宋体" w:hAnsi="宋体"/>
          <w:b/>
          <w:szCs w:val="21"/>
        </w:rPr>
        <w:t>2</w:t>
      </w:r>
      <w:r>
        <w:rPr>
          <w:rFonts w:hint="eastAsia" w:ascii="宋体" w:hAnsi="宋体"/>
          <w:b/>
          <w:szCs w:val="21"/>
        </w:rPr>
        <w:t>《竞价清单》</w:t>
      </w: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60" w:lineRule="exact"/>
        <w:rPr>
          <w:rFonts w:ascii="宋体"/>
          <w:b/>
          <w:szCs w:val="21"/>
        </w:rPr>
      </w:pPr>
    </w:p>
    <w:p>
      <w:pPr>
        <w:autoSpaceDE w:val="0"/>
        <w:autoSpaceDN w:val="0"/>
        <w:adjustRightInd w:val="0"/>
        <w:snapToGrid w:val="0"/>
        <w:spacing w:line="320" w:lineRule="exact"/>
        <w:ind w:firstLine="422" w:firstLineChars="200"/>
        <w:jc w:val="left"/>
        <w:rPr>
          <w:rFonts w:ascii="宋体"/>
          <w:b/>
          <w:szCs w:val="21"/>
        </w:rPr>
      </w:pPr>
      <w:r>
        <w:rPr>
          <w:rFonts w:hint="eastAsia" w:ascii="宋体" w:hAnsi="宋体"/>
          <w:b/>
          <w:szCs w:val="21"/>
        </w:rPr>
        <w:t>代理人</w:t>
      </w:r>
      <w:r>
        <w:rPr>
          <w:rFonts w:ascii="宋体" w:hAnsi="宋体"/>
          <w:b/>
          <w:szCs w:val="21"/>
        </w:rPr>
        <w:t>(</w:t>
      </w:r>
      <w:r>
        <w:rPr>
          <w:rFonts w:hint="eastAsia" w:ascii="宋体" w:hAnsi="宋体"/>
          <w:b/>
          <w:szCs w:val="21"/>
        </w:rPr>
        <w:t>甲方</w:t>
      </w:r>
      <w:r>
        <w:rPr>
          <w:rFonts w:ascii="宋体" w:hAnsi="宋体"/>
          <w:b/>
          <w:szCs w:val="21"/>
        </w:rPr>
        <w:t>)</w:t>
      </w:r>
      <w:r>
        <w:rPr>
          <w:rFonts w:hint="eastAsia" w:ascii="宋体" w:hAnsi="宋体"/>
          <w:b/>
          <w:szCs w:val="21"/>
        </w:rPr>
        <w:t>：福建省宸万和拍卖行有限公司</w:t>
      </w:r>
      <w:r>
        <w:rPr>
          <w:rFonts w:ascii="宋体" w:hAnsi="宋体"/>
          <w:b/>
          <w:szCs w:val="21"/>
        </w:rPr>
        <w:t xml:space="preserve">      </w:t>
      </w:r>
      <w:r>
        <w:rPr>
          <w:rFonts w:hint="eastAsia" w:ascii="宋体" w:hAnsi="宋体"/>
          <w:b/>
          <w:szCs w:val="21"/>
        </w:rPr>
        <w:t>竞价人</w:t>
      </w:r>
      <w:r>
        <w:rPr>
          <w:rFonts w:ascii="宋体" w:hAnsi="宋体"/>
          <w:b/>
          <w:szCs w:val="21"/>
        </w:rPr>
        <w:t>(</w:t>
      </w:r>
      <w:r>
        <w:rPr>
          <w:rFonts w:hint="eastAsia" w:ascii="宋体" w:hAnsi="宋体"/>
          <w:b/>
          <w:szCs w:val="21"/>
        </w:rPr>
        <w:t>乙方</w:t>
      </w:r>
      <w:r>
        <w:rPr>
          <w:rFonts w:ascii="宋体" w:hAnsi="宋体"/>
          <w:b/>
          <w:szCs w:val="21"/>
        </w:rPr>
        <w:t>)</w:t>
      </w:r>
      <w:r>
        <w:rPr>
          <w:rFonts w:hint="eastAsia" w:ascii="宋体" w:hAnsi="宋体"/>
          <w:b/>
          <w:szCs w:val="21"/>
        </w:rPr>
        <w:t>：</w:t>
      </w:r>
    </w:p>
    <w:p>
      <w:pPr>
        <w:autoSpaceDE w:val="0"/>
        <w:autoSpaceDN w:val="0"/>
        <w:adjustRightInd w:val="0"/>
        <w:snapToGrid w:val="0"/>
        <w:spacing w:line="320" w:lineRule="exact"/>
        <w:ind w:firstLine="422" w:firstLineChars="200"/>
        <w:jc w:val="left"/>
        <w:rPr>
          <w:rFonts w:ascii="宋体"/>
          <w:b/>
          <w:szCs w:val="21"/>
        </w:rPr>
      </w:pPr>
    </w:p>
    <w:p>
      <w:pPr>
        <w:autoSpaceDE w:val="0"/>
        <w:autoSpaceDN w:val="0"/>
        <w:adjustRightInd w:val="0"/>
        <w:snapToGrid w:val="0"/>
        <w:spacing w:line="320" w:lineRule="exact"/>
        <w:ind w:firstLine="4006" w:firstLineChars="1900"/>
        <w:jc w:val="left"/>
        <w:rPr>
          <w:rFonts w:ascii="宋体"/>
          <w:b/>
          <w:szCs w:val="21"/>
        </w:rPr>
      </w:pPr>
      <w:r>
        <w:rPr>
          <w:rFonts w:hint="eastAsia" w:ascii="宋体" w:hAnsi="宋体"/>
          <w:b/>
          <w:szCs w:val="21"/>
        </w:rPr>
        <w:t xml:space="preserve">　　　　　 </w:t>
      </w:r>
      <w:r>
        <w:rPr>
          <w:rFonts w:ascii="宋体" w:hAnsi="宋体"/>
          <w:b/>
          <w:szCs w:val="21"/>
        </w:rPr>
        <w:t xml:space="preserve"> </w:t>
      </w:r>
      <w:r>
        <w:rPr>
          <w:rFonts w:hint="eastAsia" w:ascii="宋体" w:hAnsi="宋体"/>
          <w:b/>
          <w:szCs w:val="21"/>
        </w:rPr>
        <w:t>受</w:t>
      </w:r>
      <w:r>
        <w:rPr>
          <w:rFonts w:ascii="宋体" w:hAnsi="宋体"/>
          <w:b/>
          <w:szCs w:val="21"/>
        </w:rPr>
        <w:t xml:space="preserve">   </w:t>
      </w:r>
      <w:r>
        <w:rPr>
          <w:rFonts w:hint="eastAsia" w:ascii="宋体" w:hAnsi="宋体"/>
          <w:b/>
          <w:szCs w:val="21"/>
        </w:rPr>
        <w:t>托</w:t>
      </w:r>
      <w:r>
        <w:rPr>
          <w:rFonts w:ascii="宋体" w:hAnsi="宋体"/>
          <w:b/>
          <w:szCs w:val="21"/>
        </w:rPr>
        <w:t xml:space="preserve">   </w:t>
      </w:r>
      <w:r>
        <w:rPr>
          <w:rFonts w:hint="eastAsia" w:ascii="宋体" w:hAnsi="宋体"/>
          <w:b/>
          <w:szCs w:val="21"/>
        </w:rPr>
        <w:t>人：</w:t>
      </w:r>
    </w:p>
    <w:p>
      <w:pPr>
        <w:autoSpaceDE w:val="0"/>
        <w:autoSpaceDN w:val="0"/>
        <w:adjustRightInd w:val="0"/>
        <w:snapToGrid w:val="0"/>
        <w:spacing w:line="320" w:lineRule="exact"/>
        <w:ind w:firstLine="4006" w:firstLineChars="1900"/>
        <w:jc w:val="left"/>
        <w:rPr>
          <w:rFonts w:ascii="宋体"/>
          <w:b/>
          <w:szCs w:val="21"/>
        </w:rPr>
      </w:pPr>
    </w:p>
    <w:p>
      <w:pPr>
        <w:autoSpaceDE w:val="0"/>
        <w:autoSpaceDN w:val="0"/>
        <w:adjustRightInd w:val="0"/>
        <w:snapToGrid w:val="0"/>
        <w:spacing w:line="320" w:lineRule="exact"/>
        <w:ind w:firstLine="413" w:firstLineChars="196"/>
        <w:jc w:val="left"/>
        <w:rPr>
          <w:rFonts w:ascii="宋体"/>
          <w:b/>
          <w:szCs w:val="21"/>
        </w:rPr>
      </w:pPr>
      <w:r>
        <w:rPr>
          <w:rFonts w:hint="eastAsia" w:ascii="宋体" w:hAnsi="宋体"/>
          <w:b/>
          <w:szCs w:val="21"/>
        </w:rPr>
        <w:t>二Ο二Ο年</w:t>
      </w:r>
      <w:r>
        <w:rPr>
          <w:rFonts w:ascii="宋体" w:hAnsi="宋体"/>
          <w:b/>
          <w:szCs w:val="21"/>
        </w:rPr>
        <w:t xml:space="preserve">   </w:t>
      </w:r>
      <w:r>
        <w:rPr>
          <w:rFonts w:hint="eastAsia" w:ascii="宋体" w:hAnsi="宋体"/>
          <w:b/>
          <w:szCs w:val="21"/>
        </w:rPr>
        <w:t>月</w:t>
      </w:r>
      <w:r>
        <w:rPr>
          <w:rFonts w:ascii="宋体" w:hAnsi="宋体"/>
          <w:b/>
          <w:szCs w:val="21"/>
        </w:rPr>
        <w:t xml:space="preserve">   </w:t>
      </w:r>
      <w:r>
        <w:rPr>
          <w:rFonts w:hint="eastAsia" w:ascii="宋体" w:hAnsi="宋体"/>
          <w:b/>
          <w:szCs w:val="21"/>
        </w:rPr>
        <w:t>日</w:t>
      </w:r>
      <w:r>
        <w:rPr>
          <w:rFonts w:ascii="宋体" w:hAnsi="宋体"/>
          <w:b/>
          <w:szCs w:val="21"/>
        </w:rPr>
        <w:t xml:space="preserve">                          </w:t>
      </w:r>
      <w:r>
        <w:rPr>
          <w:rFonts w:hint="eastAsia" w:ascii="宋体" w:hAnsi="宋体"/>
          <w:b/>
          <w:szCs w:val="21"/>
        </w:rPr>
        <w:t>二Ο二Ο年</w:t>
      </w:r>
      <w:r>
        <w:rPr>
          <w:rFonts w:ascii="宋体" w:hAnsi="宋体"/>
          <w:b/>
          <w:szCs w:val="21"/>
        </w:rPr>
        <w:t xml:space="preserve">   </w:t>
      </w:r>
      <w:r>
        <w:rPr>
          <w:rFonts w:hint="eastAsia" w:ascii="宋体" w:hAnsi="宋体"/>
          <w:b/>
          <w:szCs w:val="21"/>
        </w:rPr>
        <w:t>月</w:t>
      </w:r>
      <w:r>
        <w:rPr>
          <w:rFonts w:ascii="宋体" w:hAnsi="宋体"/>
          <w:b/>
          <w:szCs w:val="21"/>
        </w:rPr>
        <w:t xml:space="preserve">   </w:t>
      </w:r>
      <w:r>
        <w:rPr>
          <w:rFonts w:hint="eastAsia" w:ascii="宋体" w:hAnsi="宋体"/>
          <w:b/>
          <w:szCs w:val="21"/>
        </w:rPr>
        <w:t>日</w:t>
      </w:r>
    </w:p>
    <w:sectPr>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algun Gothic Semilight">
    <w:panose1 w:val="020B0502040204020203"/>
    <w:charset w:val="86"/>
    <w:family w:val="swiss"/>
    <w:pitch w:val="default"/>
    <w:sig w:usb0="900002AF" w:usb1="01D77CFB" w:usb2="00000012" w:usb3="00000000" w:csb0="203E01BD" w:csb1="D7FF0000"/>
  </w:font>
  <w:font w:name="微软雅黑">
    <w:panose1 w:val="020B0503020204020204"/>
    <w:charset w:val="86"/>
    <w:family w:val="swiss"/>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D9836"/>
    <w:multiLevelType w:val="singleLevel"/>
    <w:tmpl w:val="2ABD9836"/>
    <w:lvl w:ilvl="0" w:tentative="0">
      <w:start w:val="10"/>
      <w:numFmt w:val="chineseCounting"/>
      <w:suff w:val="nothing"/>
      <w:lvlText w:val="%1、"/>
      <w:lvlJc w:val="left"/>
      <w:rPr>
        <w:rFonts w:hint="eastAsia"/>
      </w:rPr>
    </w:lvl>
  </w:abstractNum>
  <w:abstractNum w:abstractNumId="1">
    <w:nsid w:val="37B0124F"/>
    <w:multiLevelType w:val="multilevel"/>
    <w:tmpl w:val="37B0124F"/>
    <w:lvl w:ilvl="0" w:tentative="0">
      <w:start w:val="4"/>
      <w:numFmt w:val="decimal"/>
      <w:lvlText w:val="%1）"/>
      <w:lvlJc w:val="left"/>
      <w:pPr>
        <w:ind w:left="780" w:hanging="360"/>
      </w:pPr>
      <w:rPr>
        <w:rFonts w:hint="default" w:cs="Times New Roman"/>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DE6"/>
    <w:rsid w:val="00021591"/>
    <w:rsid w:val="0002400C"/>
    <w:rsid w:val="00051EF7"/>
    <w:rsid w:val="00060519"/>
    <w:rsid w:val="00071E41"/>
    <w:rsid w:val="000748E0"/>
    <w:rsid w:val="00084985"/>
    <w:rsid w:val="00084B9B"/>
    <w:rsid w:val="00090A4B"/>
    <w:rsid w:val="000A0A35"/>
    <w:rsid w:val="000A4A55"/>
    <w:rsid w:val="000A7D5C"/>
    <w:rsid w:val="000C2830"/>
    <w:rsid w:val="000D5247"/>
    <w:rsid w:val="000E4E81"/>
    <w:rsid w:val="000F40D8"/>
    <w:rsid w:val="001008FC"/>
    <w:rsid w:val="001045CD"/>
    <w:rsid w:val="00104F8B"/>
    <w:rsid w:val="001169CE"/>
    <w:rsid w:val="00116DC4"/>
    <w:rsid w:val="00121A25"/>
    <w:rsid w:val="00131C79"/>
    <w:rsid w:val="00131DE6"/>
    <w:rsid w:val="00133811"/>
    <w:rsid w:val="00136B60"/>
    <w:rsid w:val="001451FD"/>
    <w:rsid w:val="00153852"/>
    <w:rsid w:val="00167491"/>
    <w:rsid w:val="00174ADC"/>
    <w:rsid w:val="0018115A"/>
    <w:rsid w:val="00184353"/>
    <w:rsid w:val="001864D1"/>
    <w:rsid w:val="00186714"/>
    <w:rsid w:val="001879BF"/>
    <w:rsid w:val="001D3041"/>
    <w:rsid w:val="001D565B"/>
    <w:rsid w:val="001D6F2F"/>
    <w:rsid w:val="001E0220"/>
    <w:rsid w:val="001F10C5"/>
    <w:rsid w:val="002041DC"/>
    <w:rsid w:val="002113D4"/>
    <w:rsid w:val="00217298"/>
    <w:rsid w:val="00221B8C"/>
    <w:rsid w:val="0022747F"/>
    <w:rsid w:val="00235D48"/>
    <w:rsid w:val="00245F2C"/>
    <w:rsid w:val="002558A6"/>
    <w:rsid w:val="002638BB"/>
    <w:rsid w:val="00266D94"/>
    <w:rsid w:val="00291FC5"/>
    <w:rsid w:val="002A04A2"/>
    <w:rsid w:val="002A7801"/>
    <w:rsid w:val="002B2B52"/>
    <w:rsid w:val="002B2E8B"/>
    <w:rsid w:val="002B368C"/>
    <w:rsid w:val="002C152C"/>
    <w:rsid w:val="002C2F51"/>
    <w:rsid w:val="002C7E63"/>
    <w:rsid w:val="002E2FE7"/>
    <w:rsid w:val="002E5530"/>
    <w:rsid w:val="003113A4"/>
    <w:rsid w:val="00314B1C"/>
    <w:rsid w:val="00323A5A"/>
    <w:rsid w:val="003316A0"/>
    <w:rsid w:val="00335B87"/>
    <w:rsid w:val="003404D0"/>
    <w:rsid w:val="003456C2"/>
    <w:rsid w:val="00353BA6"/>
    <w:rsid w:val="0035457F"/>
    <w:rsid w:val="0036633F"/>
    <w:rsid w:val="00373098"/>
    <w:rsid w:val="00376BEF"/>
    <w:rsid w:val="003B78E8"/>
    <w:rsid w:val="003C754A"/>
    <w:rsid w:val="003D0EE7"/>
    <w:rsid w:val="003E4656"/>
    <w:rsid w:val="003E4868"/>
    <w:rsid w:val="003E7193"/>
    <w:rsid w:val="003E74AD"/>
    <w:rsid w:val="003F40C2"/>
    <w:rsid w:val="00403DF7"/>
    <w:rsid w:val="004105D8"/>
    <w:rsid w:val="00413150"/>
    <w:rsid w:val="00413C14"/>
    <w:rsid w:val="004205B7"/>
    <w:rsid w:val="00427645"/>
    <w:rsid w:val="00442EA1"/>
    <w:rsid w:val="00482EE2"/>
    <w:rsid w:val="00486657"/>
    <w:rsid w:val="004A1D8C"/>
    <w:rsid w:val="004A4A3F"/>
    <w:rsid w:val="004A791D"/>
    <w:rsid w:val="004B149A"/>
    <w:rsid w:val="004D4A35"/>
    <w:rsid w:val="004F588A"/>
    <w:rsid w:val="004F7BA4"/>
    <w:rsid w:val="00503E2E"/>
    <w:rsid w:val="00506030"/>
    <w:rsid w:val="00507B61"/>
    <w:rsid w:val="00512835"/>
    <w:rsid w:val="00516765"/>
    <w:rsid w:val="00516A95"/>
    <w:rsid w:val="005229A2"/>
    <w:rsid w:val="00530A07"/>
    <w:rsid w:val="005327F3"/>
    <w:rsid w:val="00535048"/>
    <w:rsid w:val="00535185"/>
    <w:rsid w:val="0055555D"/>
    <w:rsid w:val="0055609B"/>
    <w:rsid w:val="0057763F"/>
    <w:rsid w:val="00587A31"/>
    <w:rsid w:val="005A01A4"/>
    <w:rsid w:val="005B008B"/>
    <w:rsid w:val="005B5677"/>
    <w:rsid w:val="005C510C"/>
    <w:rsid w:val="005C6C36"/>
    <w:rsid w:val="005E1F70"/>
    <w:rsid w:val="005F0E55"/>
    <w:rsid w:val="005F4423"/>
    <w:rsid w:val="006033A7"/>
    <w:rsid w:val="00604751"/>
    <w:rsid w:val="006056AF"/>
    <w:rsid w:val="00621D9A"/>
    <w:rsid w:val="00627B26"/>
    <w:rsid w:val="006403FB"/>
    <w:rsid w:val="00640661"/>
    <w:rsid w:val="00642679"/>
    <w:rsid w:val="00644BDA"/>
    <w:rsid w:val="0064766A"/>
    <w:rsid w:val="006546C9"/>
    <w:rsid w:val="00655D3A"/>
    <w:rsid w:val="00657D15"/>
    <w:rsid w:val="00670531"/>
    <w:rsid w:val="0068073C"/>
    <w:rsid w:val="00685C7B"/>
    <w:rsid w:val="006868A3"/>
    <w:rsid w:val="006913D4"/>
    <w:rsid w:val="0069570C"/>
    <w:rsid w:val="006A774E"/>
    <w:rsid w:val="006B2240"/>
    <w:rsid w:val="006E5E37"/>
    <w:rsid w:val="006E630A"/>
    <w:rsid w:val="006F2219"/>
    <w:rsid w:val="006F5AB5"/>
    <w:rsid w:val="007067FF"/>
    <w:rsid w:val="0071036A"/>
    <w:rsid w:val="0071052B"/>
    <w:rsid w:val="0071370F"/>
    <w:rsid w:val="00713E08"/>
    <w:rsid w:val="0071735A"/>
    <w:rsid w:val="00724EDA"/>
    <w:rsid w:val="00727CF7"/>
    <w:rsid w:val="007440F7"/>
    <w:rsid w:val="007550A3"/>
    <w:rsid w:val="007621BB"/>
    <w:rsid w:val="00780C4F"/>
    <w:rsid w:val="0078652F"/>
    <w:rsid w:val="00793990"/>
    <w:rsid w:val="007A34DB"/>
    <w:rsid w:val="007B448F"/>
    <w:rsid w:val="007B7374"/>
    <w:rsid w:val="007D300A"/>
    <w:rsid w:val="00802919"/>
    <w:rsid w:val="00804BDE"/>
    <w:rsid w:val="008070BF"/>
    <w:rsid w:val="008120FE"/>
    <w:rsid w:val="00812E1A"/>
    <w:rsid w:val="00827CF3"/>
    <w:rsid w:val="008357C6"/>
    <w:rsid w:val="00843F8B"/>
    <w:rsid w:val="00852967"/>
    <w:rsid w:val="00860BC0"/>
    <w:rsid w:val="00863576"/>
    <w:rsid w:val="00872A4C"/>
    <w:rsid w:val="008732C9"/>
    <w:rsid w:val="00882FA7"/>
    <w:rsid w:val="008A5226"/>
    <w:rsid w:val="008C2CBC"/>
    <w:rsid w:val="008D033A"/>
    <w:rsid w:val="008D215A"/>
    <w:rsid w:val="008D48BC"/>
    <w:rsid w:val="008D527A"/>
    <w:rsid w:val="008E232A"/>
    <w:rsid w:val="008F7468"/>
    <w:rsid w:val="009053AC"/>
    <w:rsid w:val="0090653A"/>
    <w:rsid w:val="0092362C"/>
    <w:rsid w:val="00931098"/>
    <w:rsid w:val="009349EF"/>
    <w:rsid w:val="009473B8"/>
    <w:rsid w:val="00947EA4"/>
    <w:rsid w:val="00953781"/>
    <w:rsid w:val="00964986"/>
    <w:rsid w:val="00964C61"/>
    <w:rsid w:val="0097589A"/>
    <w:rsid w:val="00984872"/>
    <w:rsid w:val="00984F7C"/>
    <w:rsid w:val="00986054"/>
    <w:rsid w:val="00986FDB"/>
    <w:rsid w:val="00996984"/>
    <w:rsid w:val="009C29B8"/>
    <w:rsid w:val="009D02EE"/>
    <w:rsid w:val="009D0D19"/>
    <w:rsid w:val="009E769B"/>
    <w:rsid w:val="009F1BC2"/>
    <w:rsid w:val="009F4F20"/>
    <w:rsid w:val="00A04179"/>
    <w:rsid w:val="00A103C4"/>
    <w:rsid w:val="00A352DB"/>
    <w:rsid w:val="00A37D78"/>
    <w:rsid w:val="00A4602D"/>
    <w:rsid w:val="00A6653D"/>
    <w:rsid w:val="00A763DC"/>
    <w:rsid w:val="00A85AE2"/>
    <w:rsid w:val="00A91D74"/>
    <w:rsid w:val="00A94F91"/>
    <w:rsid w:val="00AB0970"/>
    <w:rsid w:val="00AB6656"/>
    <w:rsid w:val="00AC5085"/>
    <w:rsid w:val="00AD09D5"/>
    <w:rsid w:val="00AD2A08"/>
    <w:rsid w:val="00AD77E7"/>
    <w:rsid w:val="00AE4C74"/>
    <w:rsid w:val="00AF34C2"/>
    <w:rsid w:val="00AF6EF8"/>
    <w:rsid w:val="00B0199C"/>
    <w:rsid w:val="00B05075"/>
    <w:rsid w:val="00B06CFB"/>
    <w:rsid w:val="00B12B97"/>
    <w:rsid w:val="00B31C0A"/>
    <w:rsid w:val="00B3374E"/>
    <w:rsid w:val="00B417C5"/>
    <w:rsid w:val="00B46CC0"/>
    <w:rsid w:val="00B51F96"/>
    <w:rsid w:val="00B621E3"/>
    <w:rsid w:val="00B65FC1"/>
    <w:rsid w:val="00B71A29"/>
    <w:rsid w:val="00B94DAE"/>
    <w:rsid w:val="00BA5B30"/>
    <w:rsid w:val="00BB3368"/>
    <w:rsid w:val="00BB438B"/>
    <w:rsid w:val="00BB5C79"/>
    <w:rsid w:val="00BC6F1C"/>
    <w:rsid w:val="00BD5B77"/>
    <w:rsid w:val="00BE124A"/>
    <w:rsid w:val="00BE22D6"/>
    <w:rsid w:val="00C20B17"/>
    <w:rsid w:val="00C21ECD"/>
    <w:rsid w:val="00C27D19"/>
    <w:rsid w:val="00C323C4"/>
    <w:rsid w:val="00C331D8"/>
    <w:rsid w:val="00C359A3"/>
    <w:rsid w:val="00C475F7"/>
    <w:rsid w:val="00C50E52"/>
    <w:rsid w:val="00C535B0"/>
    <w:rsid w:val="00C57F19"/>
    <w:rsid w:val="00C74F2B"/>
    <w:rsid w:val="00C75585"/>
    <w:rsid w:val="00C76204"/>
    <w:rsid w:val="00C85F73"/>
    <w:rsid w:val="00C86465"/>
    <w:rsid w:val="00C91158"/>
    <w:rsid w:val="00CB36FC"/>
    <w:rsid w:val="00CC0000"/>
    <w:rsid w:val="00CE2478"/>
    <w:rsid w:val="00CE4C0F"/>
    <w:rsid w:val="00CF0809"/>
    <w:rsid w:val="00CF240C"/>
    <w:rsid w:val="00D01090"/>
    <w:rsid w:val="00D118D7"/>
    <w:rsid w:val="00D327B8"/>
    <w:rsid w:val="00D32FCA"/>
    <w:rsid w:val="00D47380"/>
    <w:rsid w:val="00D533E2"/>
    <w:rsid w:val="00D5623A"/>
    <w:rsid w:val="00D63522"/>
    <w:rsid w:val="00D9407C"/>
    <w:rsid w:val="00D968AB"/>
    <w:rsid w:val="00DA49CE"/>
    <w:rsid w:val="00DB6982"/>
    <w:rsid w:val="00DC0C21"/>
    <w:rsid w:val="00DC4A47"/>
    <w:rsid w:val="00DE6EAE"/>
    <w:rsid w:val="00DF1722"/>
    <w:rsid w:val="00DF5577"/>
    <w:rsid w:val="00DF6B67"/>
    <w:rsid w:val="00E02F8E"/>
    <w:rsid w:val="00E24039"/>
    <w:rsid w:val="00E25B5B"/>
    <w:rsid w:val="00E26F19"/>
    <w:rsid w:val="00E36573"/>
    <w:rsid w:val="00E5038D"/>
    <w:rsid w:val="00E50D94"/>
    <w:rsid w:val="00E53DC7"/>
    <w:rsid w:val="00E67FFC"/>
    <w:rsid w:val="00E730C3"/>
    <w:rsid w:val="00E85934"/>
    <w:rsid w:val="00E921C5"/>
    <w:rsid w:val="00E971E2"/>
    <w:rsid w:val="00EA3746"/>
    <w:rsid w:val="00EB1CBA"/>
    <w:rsid w:val="00EC098B"/>
    <w:rsid w:val="00EC17E2"/>
    <w:rsid w:val="00EC7952"/>
    <w:rsid w:val="00EE0F8F"/>
    <w:rsid w:val="00EF29BE"/>
    <w:rsid w:val="00F10D0C"/>
    <w:rsid w:val="00F116F6"/>
    <w:rsid w:val="00F129B4"/>
    <w:rsid w:val="00F25904"/>
    <w:rsid w:val="00F374B0"/>
    <w:rsid w:val="00F452FD"/>
    <w:rsid w:val="00F47C52"/>
    <w:rsid w:val="00F80728"/>
    <w:rsid w:val="00F970E2"/>
    <w:rsid w:val="00FC2DE7"/>
    <w:rsid w:val="00FD78DA"/>
    <w:rsid w:val="00FE421A"/>
    <w:rsid w:val="00FF01B2"/>
    <w:rsid w:val="019C7B8D"/>
    <w:rsid w:val="03510F6A"/>
    <w:rsid w:val="064A025A"/>
    <w:rsid w:val="0DE04DBA"/>
    <w:rsid w:val="12870C2B"/>
    <w:rsid w:val="138B2224"/>
    <w:rsid w:val="1DCB49E7"/>
    <w:rsid w:val="224412B6"/>
    <w:rsid w:val="3E1B66B2"/>
    <w:rsid w:val="459A3887"/>
    <w:rsid w:val="4AB358D4"/>
    <w:rsid w:val="50004A37"/>
    <w:rsid w:val="518D4F19"/>
    <w:rsid w:val="58452E74"/>
    <w:rsid w:val="622217BA"/>
    <w:rsid w:val="62257BF1"/>
    <w:rsid w:val="66AD54AE"/>
    <w:rsid w:val="66DB2D78"/>
    <w:rsid w:val="6FE30F17"/>
    <w:rsid w:val="709965D2"/>
    <w:rsid w:val="72F55CAB"/>
    <w:rsid w:val="7AA071F2"/>
    <w:rsid w:val="7B9126A4"/>
    <w:rsid w:val="7D58717D"/>
    <w:rsid w:val="7D5A59F0"/>
    <w:rsid w:val="7FBF652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qFormat/>
    <w:uiPriority w:val="99"/>
    <w:pPr>
      <w:tabs>
        <w:tab w:val="center" w:pos="4153"/>
        <w:tab w:val="right" w:pos="8306"/>
      </w:tabs>
      <w:snapToGrid w:val="0"/>
      <w:jc w:val="left"/>
    </w:pPr>
    <w:rPr>
      <w:sz w:val="18"/>
      <w:szCs w:val="18"/>
    </w:rPr>
  </w:style>
  <w:style w:type="paragraph" w:styleId="3">
    <w:name w:val="header"/>
    <w:basedOn w:val="1"/>
    <w:link w:val="7"/>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字符"/>
    <w:link w:val="2"/>
    <w:qFormat/>
    <w:locked/>
    <w:uiPriority w:val="99"/>
    <w:rPr>
      <w:rFonts w:ascii="Calibri" w:hAnsi="Calibri" w:eastAsia="宋体" w:cs="Times New Roman"/>
      <w:sz w:val="18"/>
      <w:szCs w:val="18"/>
    </w:rPr>
  </w:style>
  <w:style w:type="character" w:customStyle="1" w:styleId="7">
    <w:name w:val="页眉 字符"/>
    <w:link w:val="3"/>
    <w:qFormat/>
    <w:locked/>
    <w:uiPriority w:val="99"/>
    <w:rPr>
      <w:rFonts w:ascii="Calibri" w:hAnsi="Calibri" w:eastAsia="宋体" w:cs="Times New Roman"/>
      <w:sz w:val="18"/>
      <w:szCs w:val="18"/>
    </w:rPr>
  </w:style>
  <w:style w:type="paragraph" w:styleId="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1439</Words>
  <Characters>8204</Characters>
  <Lines>68</Lines>
  <Paragraphs>19</Paragraphs>
  <TotalTime>3</TotalTime>
  <ScaleCrop>false</ScaleCrop>
  <LinksUpToDate>false</LinksUpToDate>
  <CharactersWithSpaces>9624</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2020-06-16T13:25:00Z</dcterms:created>
  <dc:creator>NTKO</dc:creator>
  <cp:lastModifiedBy>百科</cp:lastModifiedBy>
  <cp:lastPrinted>2020-04-07T08:07:00Z</cp:lastPrinted>
  <dcterms:modified xsi:type="dcterms:W3CDTF">2020-06-17T07:44:24Z</dcterms:modified>
  <dc:title>竞价协议书</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y fmtid="{D5CDD505-2E9C-101B-9397-08002B2CF9AE}" pid="3" name="_DocHome">
    <vt:i4>1270314978</vt:i4>
  </property>
</Properties>
</file>