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7237EE">
      <w:pPr>
        <w:pStyle w:val="3"/>
        <w:kinsoku/>
        <w:autoSpaceDE/>
        <w:autoSpaceDN/>
        <w:spacing w:before="0" w:line="440" w:lineRule="exact"/>
        <w:ind w:left="0" w:right="0" w:rightChars="0" w:firstLine="0" w:firstLineChars="0"/>
        <w:jc w:val="center"/>
        <w:outlineLvl w:val="0"/>
        <w:rPr>
          <w:rFonts w:hint="eastAsia"/>
          <w:b/>
          <w:bCs/>
          <w:color w:val="auto"/>
          <w:sz w:val="32"/>
          <w:szCs w:val="32"/>
          <w:highlight w:val="none"/>
          <w:lang w:eastAsia="zh-CN"/>
        </w:rPr>
      </w:pPr>
      <w:r>
        <w:rPr>
          <w:rFonts w:hint="eastAsia"/>
          <w:b/>
          <w:bCs/>
          <w:color w:val="auto"/>
          <w:spacing w:val="-18"/>
          <w:sz w:val="32"/>
          <w:szCs w:val="32"/>
          <w:highlight w:val="none"/>
          <w:lang w:eastAsia="zh-CN"/>
        </w:rPr>
        <w:t>竞</w:t>
      </w:r>
      <w:r>
        <w:rPr>
          <w:rFonts w:hint="eastAsia" w:ascii="仿宋" w:hAnsi="仿宋" w:eastAsia="仿宋" w:cs="仿宋"/>
          <w:b/>
          <w:bCs/>
          <w:color w:val="auto"/>
          <w:spacing w:val="-18"/>
          <w:sz w:val="32"/>
          <w:szCs w:val="32"/>
          <w:highlight w:val="none"/>
          <w:lang w:val="en-US" w:eastAsia="zh-CN"/>
        </w:rPr>
        <w:t xml:space="preserve"> </w:t>
      </w:r>
      <w:r>
        <w:rPr>
          <w:rFonts w:hint="eastAsia"/>
          <w:b/>
          <w:bCs/>
          <w:color w:val="auto"/>
          <w:spacing w:val="-18"/>
          <w:sz w:val="32"/>
          <w:szCs w:val="32"/>
          <w:highlight w:val="none"/>
          <w:lang w:eastAsia="zh-CN"/>
        </w:rPr>
        <w:t>价</w:t>
      </w:r>
      <w:r>
        <w:rPr>
          <w:rFonts w:hint="eastAsia" w:ascii="仿宋" w:hAnsi="仿宋" w:eastAsia="仿宋" w:cs="仿宋"/>
          <w:b/>
          <w:bCs/>
          <w:color w:val="auto"/>
          <w:spacing w:val="-18"/>
          <w:sz w:val="32"/>
          <w:szCs w:val="32"/>
          <w:highlight w:val="none"/>
          <w:lang w:val="en-US" w:eastAsia="zh-CN"/>
        </w:rPr>
        <w:t xml:space="preserve"> </w:t>
      </w:r>
      <w:r>
        <w:rPr>
          <w:rFonts w:hint="eastAsia"/>
          <w:b/>
          <w:bCs/>
          <w:color w:val="auto"/>
          <w:spacing w:val="-18"/>
          <w:sz w:val="32"/>
          <w:szCs w:val="32"/>
          <w:highlight w:val="none"/>
          <w:lang w:eastAsia="zh-CN"/>
        </w:rPr>
        <w:t>协</w:t>
      </w:r>
      <w:r>
        <w:rPr>
          <w:rFonts w:hint="eastAsia" w:ascii="仿宋" w:hAnsi="仿宋" w:eastAsia="仿宋" w:cs="仿宋"/>
          <w:b/>
          <w:bCs/>
          <w:color w:val="auto"/>
          <w:spacing w:val="-18"/>
          <w:sz w:val="32"/>
          <w:szCs w:val="32"/>
          <w:highlight w:val="none"/>
          <w:lang w:val="en-US" w:eastAsia="zh-CN"/>
        </w:rPr>
        <w:t xml:space="preserve"> </w:t>
      </w:r>
      <w:r>
        <w:rPr>
          <w:rFonts w:hint="eastAsia"/>
          <w:b/>
          <w:bCs/>
          <w:color w:val="auto"/>
          <w:spacing w:val="-18"/>
          <w:sz w:val="32"/>
          <w:szCs w:val="32"/>
          <w:highlight w:val="none"/>
          <w:lang w:eastAsia="zh-CN"/>
        </w:rPr>
        <w:t>议</w:t>
      </w:r>
      <w:r>
        <w:rPr>
          <w:rFonts w:hint="eastAsia" w:ascii="仿宋" w:hAnsi="仿宋" w:eastAsia="仿宋" w:cs="仿宋"/>
          <w:b/>
          <w:bCs/>
          <w:color w:val="auto"/>
          <w:spacing w:val="-18"/>
          <w:sz w:val="32"/>
          <w:szCs w:val="32"/>
          <w:highlight w:val="none"/>
          <w:lang w:val="en-US" w:eastAsia="zh-CN"/>
        </w:rPr>
        <w:t xml:space="preserve"> </w:t>
      </w:r>
      <w:r>
        <w:rPr>
          <w:rFonts w:hint="eastAsia"/>
          <w:b/>
          <w:bCs/>
          <w:color w:val="auto"/>
          <w:spacing w:val="-18"/>
          <w:sz w:val="32"/>
          <w:szCs w:val="32"/>
          <w:highlight w:val="none"/>
          <w:lang w:eastAsia="zh-CN"/>
        </w:rPr>
        <w:t>书</w:t>
      </w:r>
    </w:p>
    <w:p w14:paraId="38431C13">
      <w:pPr>
        <w:kinsoku/>
        <w:autoSpaceDE/>
        <w:autoSpaceDN/>
        <w:spacing w:line="440" w:lineRule="exact"/>
        <w:ind w:right="0" w:rightChars="0" w:firstLine="0" w:firstLineChars="0"/>
        <w:rPr>
          <w:color w:val="auto"/>
          <w:highlight w:val="none"/>
          <w:lang w:eastAsia="zh-CN"/>
        </w:rPr>
      </w:pPr>
    </w:p>
    <w:p w14:paraId="0198DF45">
      <w:pPr>
        <w:pStyle w:val="3"/>
        <w:kinsoku/>
        <w:autoSpaceDE/>
        <w:autoSpaceDN/>
        <w:spacing w:before="0" w:line="440" w:lineRule="exact"/>
        <w:ind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厦门市旧城保护开发有限公司（本协议的甲方）受委托，定于202</w:t>
      </w:r>
      <w:r>
        <w:rPr>
          <w:rFonts w:hint="eastAsia" w:ascii="仿宋_GB2312" w:hAnsi="仿宋_GB2312" w:eastAsia="仿宋_GB2312" w:cs="仿宋_GB2312"/>
          <w:color w:val="auto"/>
          <w:spacing w:val="8"/>
          <w:sz w:val="24"/>
          <w:szCs w:val="24"/>
          <w:highlight w:val="none"/>
          <w:lang w:val="en-US" w:eastAsia="zh-CN"/>
        </w:rPr>
        <w:t>6</w:t>
      </w:r>
      <w:r>
        <w:rPr>
          <w:rFonts w:hint="eastAsia" w:ascii="仿宋_GB2312" w:hAnsi="仿宋_GB2312" w:eastAsia="仿宋_GB2312" w:cs="仿宋_GB2312"/>
          <w:color w:val="auto"/>
          <w:spacing w:val="8"/>
          <w:sz w:val="24"/>
          <w:szCs w:val="24"/>
          <w:highlight w:val="none"/>
          <w:lang w:eastAsia="zh-CN"/>
        </w:rPr>
        <w:t>年</w:t>
      </w:r>
      <w:r>
        <w:rPr>
          <w:rFonts w:hint="eastAsia" w:ascii="仿宋_GB2312" w:hAnsi="仿宋_GB2312" w:eastAsia="仿宋_GB2312" w:cs="仿宋_GB2312"/>
          <w:color w:val="auto"/>
          <w:spacing w:val="8"/>
          <w:sz w:val="24"/>
          <w:szCs w:val="24"/>
          <w:highlight w:val="none"/>
          <w:lang w:val="en-US" w:eastAsia="zh-CN"/>
        </w:rPr>
        <w:t>11</w:t>
      </w:r>
      <w:r>
        <w:rPr>
          <w:rFonts w:hint="eastAsia" w:ascii="仿宋_GB2312" w:hAnsi="仿宋_GB2312" w:eastAsia="仿宋_GB2312" w:cs="仿宋_GB2312"/>
          <w:color w:val="auto"/>
          <w:spacing w:val="8"/>
          <w:sz w:val="24"/>
          <w:szCs w:val="24"/>
          <w:highlight w:val="none"/>
          <w:lang w:eastAsia="zh-CN"/>
        </w:rPr>
        <w:t>月</w:t>
      </w:r>
      <w:r>
        <w:rPr>
          <w:rFonts w:hint="eastAsia" w:ascii="仿宋_GB2312" w:hAnsi="仿宋_GB2312" w:eastAsia="仿宋_GB2312" w:cs="仿宋_GB2312"/>
          <w:color w:val="auto"/>
          <w:spacing w:val="8"/>
          <w:sz w:val="24"/>
          <w:szCs w:val="24"/>
          <w:highlight w:val="none"/>
          <w:lang w:val="en-US" w:eastAsia="zh-CN"/>
        </w:rPr>
        <w:t>12</w:t>
      </w:r>
      <w:r>
        <w:rPr>
          <w:rFonts w:hint="eastAsia" w:ascii="仿宋_GB2312" w:hAnsi="仿宋_GB2312" w:eastAsia="仿宋_GB2312" w:cs="仿宋_GB2312"/>
          <w:color w:val="auto"/>
          <w:spacing w:val="8"/>
          <w:sz w:val="24"/>
          <w:szCs w:val="24"/>
          <w:highlight w:val="none"/>
          <w:lang w:eastAsia="zh-CN"/>
        </w:rPr>
        <w:t>日9:</w:t>
      </w:r>
      <w:r>
        <w:rPr>
          <w:rFonts w:hint="eastAsia" w:ascii="仿宋_GB2312" w:hAnsi="仿宋_GB2312" w:eastAsia="仿宋_GB2312" w:cs="仿宋_GB2312"/>
          <w:color w:val="auto"/>
          <w:spacing w:val="8"/>
          <w:sz w:val="24"/>
          <w:szCs w:val="24"/>
          <w:highlight w:val="none"/>
          <w:lang w:val="en-US" w:eastAsia="zh-CN"/>
        </w:rPr>
        <w:t>3</w:t>
      </w:r>
      <w:r>
        <w:rPr>
          <w:rFonts w:hint="eastAsia" w:ascii="仿宋_GB2312" w:hAnsi="仿宋_GB2312" w:eastAsia="仿宋_GB2312" w:cs="仿宋_GB2312"/>
          <w:color w:val="auto"/>
          <w:spacing w:val="8"/>
          <w:sz w:val="24"/>
          <w:szCs w:val="24"/>
          <w:highlight w:val="none"/>
          <w:lang w:eastAsia="zh-CN"/>
        </w:rPr>
        <w:t>0起在厦门市资产</w:t>
      </w:r>
      <w:r>
        <w:rPr>
          <w:rFonts w:hint="eastAsia" w:ascii="仿宋_GB2312" w:hAnsi="仿宋_GB2312" w:eastAsia="仿宋_GB2312" w:cs="仿宋_GB2312"/>
          <w:color w:val="auto"/>
          <w:spacing w:val="7"/>
          <w:sz w:val="24"/>
          <w:szCs w:val="24"/>
          <w:highlight w:val="none"/>
          <w:lang w:eastAsia="zh-CN"/>
        </w:rPr>
        <w:t>资源交易</w:t>
      </w:r>
      <w:r>
        <w:rPr>
          <w:rFonts w:hint="eastAsia" w:ascii="仿宋_GB2312" w:hAnsi="仿宋_GB2312" w:eastAsia="仿宋_GB2312" w:cs="仿宋_GB2312"/>
          <w:color w:val="auto"/>
          <w:spacing w:val="9"/>
          <w:sz w:val="24"/>
          <w:szCs w:val="24"/>
          <w:highlight w:val="none"/>
          <w:lang w:eastAsia="zh-CN"/>
        </w:rPr>
        <w:t>系统</w:t>
      </w:r>
      <w:r>
        <w:rPr>
          <w:rFonts w:hint="eastAsia" w:ascii="仿宋_GB2312" w:hAnsi="仿宋_GB2312" w:eastAsia="仿宋_GB2312" w:cs="仿宋_GB2312"/>
          <w:color w:val="auto"/>
          <w:sz w:val="24"/>
          <w:szCs w:val="24"/>
          <w:highlight w:val="none"/>
        </w:rPr>
        <w:fldChar w:fldCharType="begin"/>
      </w:r>
      <w:r>
        <w:rPr>
          <w:rFonts w:hint="eastAsia" w:ascii="仿宋_GB2312" w:hAnsi="仿宋_GB2312" w:eastAsia="仿宋_GB2312" w:cs="仿宋_GB2312"/>
          <w:color w:val="auto"/>
          <w:sz w:val="24"/>
          <w:szCs w:val="24"/>
          <w:highlight w:val="none"/>
        </w:rPr>
        <w:instrText xml:space="preserve"> HYPERLINK "http://120.41.41.16:9101/" </w:instrText>
      </w:r>
      <w:r>
        <w:rPr>
          <w:rFonts w:hint="eastAsia" w:ascii="仿宋_GB2312" w:hAnsi="仿宋_GB2312" w:eastAsia="仿宋_GB2312" w:cs="仿宋_GB2312"/>
          <w:color w:val="auto"/>
          <w:sz w:val="24"/>
          <w:szCs w:val="24"/>
          <w:highlight w:val="none"/>
        </w:rPr>
        <w:fldChar w:fldCharType="separate"/>
      </w:r>
      <w:bookmarkStart w:id="0" w:name="OLE_LINK2"/>
      <w:r>
        <w:rPr>
          <w:rFonts w:hint="eastAsia" w:ascii="仿宋_GB2312" w:hAnsi="仿宋_GB2312" w:eastAsia="仿宋_GB2312" w:cs="仿宋_GB2312"/>
          <w:color w:val="auto"/>
          <w:sz w:val="24"/>
          <w:szCs w:val="24"/>
          <w:highlight w:val="none"/>
          <w:u w:val="single"/>
          <w:lang w:eastAsia="zh-CN"/>
        </w:rPr>
        <w:t>http</w:t>
      </w:r>
      <w:r>
        <w:rPr>
          <w:rFonts w:hint="eastAsia" w:ascii="仿宋_GB2312" w:hAnsi="仿宋_GB2312" w:eastAsia="仿宋_GB2312" w:cs="仿宋_GB2312"/>
          <w:color w:val="auto"/>
          <w:spacing w:val="9"/>
          <w:sz w:val="24"/>
          <w:szCs w:val="24"/>
          <w:highlight w:val="none"/>
          <w:u w:val="single"/>
          <w:lang w:eastAsia="zh-CN"/>
        </w:rPr>
        <w:t>://120.41.41.16:9101/</w:t>
      </w:r>
      <w:bookmarkEnd w:id="0"/>
      <w:r>
        <w:rPr>
          <w:rFonts w:hint="eastAsia" w:ascii="仿宋_GB2312" w:hAnsi="仿宋_GB2312" w:eastAsia="仿宋_GB2312" w:cs="仿宋_GB2312"/>
          <w:color w:val="auto"/>
          <w:spacing w:val="9"/>
          <w:sz w:val="24"/>
          <w:szCs w:val="24"/>
          <w:highlight w:val="none"/>
          <w:u w:val="single"/>
          <w:lang w:eastAsia="zh-CN"/>
        </w:rPr>
        <w:t>（</w:t>
      </w:r>
      <w:r>
        <w:rPr>
          <w:rFonts w:hint="eastAsia" w:ascii="仿宋_GB2312" w:hAnsi="仿宋_GB2312" w:eastAsia="仿宋_GB2312" w:cs="仿宋_GB2312"/>
          <w:color w:val="auto"/>
          <w:spacing w:val="9"/>
          <w:sz w:val="24"/>
          <w:szCs w:val="24"/>
          <w:highlight w:val="none"/>
          <w:u w:val="single"/>
          <w:lang w:eastAsia="zh-CN"/>
        </w:rPr>
        <w:fldChar w:fldCharType="end"/>
      </w:r>
      <w:r>
        <w:rPr>
          <w:rFonts w:hint="eastAsia" w:ascii="仿宋_GB2312" w:hAnsi="仿宋_GB2312" w:eastAsia="仿宋_GB2312" w:cs="仿宋_GB2312"/>
          <w:color w:val="auto"/>
          <w:spacing w:val="9"/>
          <w:sz w:val="24"/>
          <w:szCs w:val="24"/>
          <w:highlight w:val="none"/>
          <w:lang w:eastAsia="zh-CN"/>
        </w:rPr>
        <w:t>以下简称交易系统）采用网络电子竞价的方式举行</w:t>
      </w:r>
      <w:r>
        <w:rPr>
          <w:rFonts w:hint="eastAsia" w:ascii="仿宋_GB2312" w:hAnsi="仿宋_GB2312" w:eastAsia="仿宋_GB2312" w:cs="仿宋_GB2312"/>
          <w:color w:val="auto"/>
          <w:spacing w:val="9"/>
          <w:sz w:val="24"/>
          <w:szCs w:val="24"/>
          <w:highlight w:val="none"/>
          <w:u w:val="single"/>
          <w:lang w:eastAsia="zh-CN"/>
        </w:rPr>
        <w:t>202</w:t>
      </w:r>
      <w:r>
        <w:rPr>
          <w:rFonts w:hint="eastAsia" w:ascii="仿宋_GB2312" w:hAnsi="仿宋_GB2312" w:eastAsia="仿宋_GB2312" w:cs="仿宋_GB2312"/>
          <w:color w:val="auto"/>
          <w:spacing w:val="9"/>
          <w:sz w:val="24"/>
          <w:szCs w:val="24"/>
          <w:highlight w:val="none"/>
          <w:u w:val="single"/>
          <w:lang w:val="en-US" w:eastAsia="zh-CN"/>
        </w:rPr>
        <w:t>6</w:t>
      </w:r>
      <w:r>
        <w:rPr>
          <w:rFonts w:hint="eastAsia" w:ascii="仿宋_GB2312" w:hAnsi="仿宋_GB2312" w:eastAsia="仿宋_GB2312" w:cs="仿宋_GB2312"/>
          <w:color w:val="auto"/>
          <w:spacing w:val="9"/>
          <w:sz w:val="24"/>
          <w:szCs w:val="24"/>
          <w:highlight w:val="none"/>
          <w:u w:val="single"/>
          <w:lang w:eastAsia="zh-CN"/>
        </w:rPr>
        <w:t>年第</w:t>
      </w:r>
      <w:r>
        <w:rPr>
          <w:rFonts w:hint="eastAsia" w:ascii="仿宋_GB2312" w:hAnsi="仿宋_GB2312" w:eastAsia="仿宋_GB2312" w:cs="仿宋_GB2312"/>
          <w:color w:val="auto"/>
          <w:spacing w:val="9"/>
          <w:sz w:val="24"/>
          <w:szCs w:val="24"/>
          <w:highlight w:val="none"/>
          <w:u w:val="single"/>
          <w:lang w:val="en-US" w:eastAsia="zh-CN"/>
        </w:rPr>
        <w:t>一</w:t>
      </w:r>
      <w:r>
        <w:rPr>
          <w:rFonts w:hint="eastAsia" w:ascii="仿宋_GB2312" w:hAnsi="仿宋_GB2312" w:eastAsia="仿宋_GB2312" w:cs="仿宋_GB2312"/>
          <w:color w:val="auto"/>
          <w:spacing w:val="9"/>
          <w:sz w:val="24"/>
          <w:szCs w:val="24"/>
          <w:highlight w:val="none"/>
          <w:u w:val="single"/>
          <w:lang w:eastAsia="zh-CN"/>
        </w:rPr>
        <w:t>批保障房</w:t>
      </w:r>
      <w:r>
        <w:rPr>
          <w:rFonts w:hint="eastAsia" w:ascii="仿宋_GB2312" w:hAnsi="仿宋_GB2312" w:eastAsia="仿宋_GB2312" w:cs="仿宋_GB2312"/>
          <w:color w:val="auto"/>
          <w:spacing w:val="8"/>
          <w:sz w:val="24"/>
          <w:szCs w:val="24"/>
          <w:highlight w:val="none"/>
          <w:u w:val="single"/>
          <w:lang w:eastAsia="zh-CN"/>
        </w:rPr>
        <w:t>配套商业招租</w:t>
      </w:r>
      <w:r>
        <w:rPr>
          <w:rFonts w:hint="eastAsia" w:ascii="仿宋_GB2312" w:hAnsi="仿宋_GB2312" w:eastAsia="仿宋_GB2312" w:cs="仿宋_GB2312"/>
          <w:color w:val="auto"/>
          <w:spacing w:val="8"/>
          <w:sz w:val="24"/>
          <w:szCs w:val="24"/>
          <w:highlight w:val="none"/>
          <w:lang w:eastAsia="zh-CN"/>
        </w:rPr>
        <w:t>竞价会，竞价人（本协议的乙方）自愿参加甲方举行的竞价会。甲、乙双方本着</w:t>
      </w:r>
      <w:r>
        <w:rPr>
          <w:rFonts w:hint="eastAsia" w:ascii="仿宋_GB2312" w:hAnsi="仿宋_GB2312" w:eastAsia="仿宋_GB2312" w:cs="仿宋_GB2312"/>
          <w:color w:val="auto"/>
          <w:spacing w:val="7"/>
          <w:sz w:val="24"/>
          <w:szCs w:val="24"/>
          <w:highlight w:val="none"/>
          <w:lang w:eastAsia="zh-CN"/>
        </w:rPr>
        <w:t>公开、公平、</w:t>
      </w:r>
      <w:r>
        <w:rPr>
          <w:rFonts w:hint="eastAsia" w:ascii="仿宋_GB2312" w:hAnsi="仿宋_GB2312" w:eastAsia="仿宋_GB2312" w:cs="仿宋_GB2312"/>
          <w:color w:val="auto"/>
          <w:spacing w:val="3"/>
          <w:sz w:val="24"/>
          <w:szCs w:val="24"/>
          <w:highlight w:val="none"/>
          <w:lang w:eastAsia="zh-CN"/>
        </w:rPr>
        <w:t>公正的原则，根据《中华人民共和国民法典》《中华人民</w:t>
      </w:r>
      <w:r>
        <w:rPr>
          <w:rFonts w:hint="eastAsia" w:ascii="仿宋_GB2312" w:hAnsi="仿宋_GB2312" w:eastAsia="仿宋_GB2312" w:cs="仿宋_GB2312"/>
          <w:color w:val="auto"/>
          <w:spacing w:val="2"/>
          <w:sz w:val="24"/>
          <w:szCs w:val="24"/>
          <w:highlight w:val="none"/>
          <w:lang w:eastAsia="zh-CN"/>
        </w:rPr>
        <w:t>共和国拍卖法》《</w:t>
      </w:r>
      <w:bookmarkStart w:id="1" w:name="_GoBack"/>
      <w:bookmarkEnd w:id="1"/>
      <w:r>
        <w:rPr>
          <w:rFonts w:hint="eastAsia" w:ascii="仿宋_GB2312" w:hAnsi="仿宋_GB2312" w:eastAsia="仿宋_GB2312" w:cs="仿宋_GB2312"/>
          <w:color w:val="auto"/>
          <w:spacing w:val="2"/>
          <w:sz w:val="24"/>
          <w:szCs w:val="24"/>
          <w:highlight w:val="none"/>
          <w:lang w:eastAsia="zh-CN"/>
        </w:rPr>
        <w:t>厦门市市级公共资源市场交易</w:t>
      </w:r>
      <w:r>
        <w:rPr>
          <w:rFonts w:hint="eastAsia" w:ascii="仿宋_GB2312" w:hAnsi="仿宋_GB2312" w:eastAsia="仿宋_GB2312" w:cs="仿宋_GB2312"/>
          <w:color w:val="auto"/>
          <w:spacing w:val="8"/>
          <w:sz w:val="24"/>
          <w:szCs w:val="24"/>
          <w:highlight w:val="none"/>
          <w:lang w:eastAsia="zh-CN"/>
        </w:rPr>
        <w:t>规则》</w:t>
      </w:r>
      <w:r>
        <w:rPr>
          <w:rFonts w:hint="eastAsia" w:ascii="仿宋_GB2312" w:hAnsi="仿宋_GB2312" w:eastAsia="仿宋_GB2312" w:cs="仿宋_GB2312"/>
          <w:color w:val="auto"/>
          <w:spacing w:val="-43"/>
          <w:sz w:val="24"/>
          <w:szCs w:val="24"/>
          <w:highlight w:val="none"/>
          <w:lang w:eastAsia="zh-CN"/>
        </w:rPr>
        <w:t>（</w:t>
      </w:r>
      <w:r>
        <w:rPr>
          <w:rFonts w:hint="eastAsia" w:ascii="仿宋_GB2312" w:hAnsi="仿宋_GB2312" w:eastAsia="仿宋_GB2312" w:cs="仿宋_GB2312"/>
          <w:color w:val="auto"/>
          <w:spacing w:val="8"/>
          <w:sz w:val="24"/>
          <w:szCs w:val="24"/>
          <w:highlight w:val="none"/>
          <w:lang w:eastAsia="zh-CN"/>
        </w:rPr>
        <w:t>厦财规〔2023〕2号）等相关法律</w:t>
      </w:r>
      <w:r>
        <w:rPr>
          <w:rFonts w:hint="eastAsia" w:ascii="仿宋_GB2312" w:hAnsi="仿宋_GB2312" w:eastAsia="仿宋_GB2312" w:cs="仿宋_GB2312"/>
          <w:color w:val="auto"/>
          <w:spacing w:val="7"/>
          <w:sz w:val="24"/>
          <w:szCs w:val="24"/>
          <w:highlight w:val="none"/>
          <w:lang w:eastAsia="zh-CN"/>
        </w:rPr>
        <w:t>、法规、规章及相关司法解释，在充分协商的基础上签订本协议。</w:t>
      </w:r>
    </w:p>
    <w:p w14:paraId="60BA0FCA">
      <w:pPr>
        <w:pStyle w:val="3"/>
        <w:kinsoku/>
        <w:autoSpaceDE/>
        <w:autoSpaceDN/>
        <w:spacing w:line="440" w:lineRule="exact"/>
        <w:ind w:left="0" w:leftChars="0" w:right="0" w:rightChars="0" w:firstLine="458"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一、竞价标的</w:t>
      </w:r>
    </w:p>
    <w:p w14:paraId="5CFC9B4A">
      <w:pPr>
        <w:pStyle w:val="3"/>
        <w:tabs>
          <w:tab w:val="left" w:pos="522"/>
        </w:tabs>
        <w:kinsoku/>
        <w:autoSpaceDE/>
        <w:autoSpaceDN/>
        <w:spacing w:before="0" w:line="440" w:lineRule="exact"/>
        <w:ind w:left="0" w:leftChars="0" w:right="0" w:rightChars="0" w:firstLine="50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5"/>
          <w:sz w:val="24"/>
          <w:szCs w:val="24"/>
          <w:highlight w:val="none"/>
          <w:u w:val="single"/>
          <w:lang w:eastAsia="zh-CN"/>
        </w:rPr>
        <w:t>202</w:t>
      </w:r>
      <w:r>
        <w:rPr>
          <w:rFonts w:hint="eastAsia" w:ascii="仿宋_GB2312" w:hAnsi="仿宋_GB2312" w:eastAsia="仿宋_GB2312" w:cs="仿宋_GB2312"/>
          <w:color w:val="auto"/>
          <w:spacing w:val="5"/>
          <w:sz w:val="24"/>
          <w:szCs w:val="24"/>
          <w:highlight w:val="none"/>
          <w:u w:val="single"/>
          <w:lang w:val="en-US" w:eastAsia="zh-CN"/>
        </w:rPr>
        <w:t>6</w:t>
      </w:r>
      <w:r>
        <w:rPr>
          <w:rFonts w:hint="eastAsia" w:ascii="仿宋_GB2312" w:hAnsi="仿宋_GB2312" w:eastAsia="仿宋_GB2312" w:cs="仿宋_GB2312"/>
          <w:color w:val="auto"/>
          <w:spacing w:val="5"/>
          <w:sz w:val="24"/>
          <w:szCs w:val="24"/>
          <w:highlight w:val="none"/>
          <w:u w:val="single"/>
          <w:lang w:eastAsia="zh-CN"/>
        </w:rPr>
        <w:t>年第</w:t>
      </w:r>
      <w:r>
        <w:rPr>
          <w:rFonts w:hint="eastAsia" w:ascii="仿宋_GB2312" w:hAnsi="仿宋_GB2312" w:eastAsia="仿宋_GB2312" w:cs="仿宋_GB2312"/>
          <w:color w:val="auto"/>
          <w:spacing w:val="5"/>
          <w:sz w:val="24"/>
          <w:szCs w:val="24"/>
          <w:highlight w:val="none"/>
          <w:u w:val="single"/>
          <w:lang w:val="en-US" w:eastAsia="zh-CN"/>
        </w:rPr>
        <w:t>一</w:t>
      </w:r>
      <w:r>
        <w:rPr>
          <w:rFonts w:hint="eastAsia" w:ascii="仿宋_GB2312" w:hAnsi="仿宋_GB2312" w:eastAsia="仿宋_GB2312" w:cs="仿宋_GB2312"/>
          <w:color w:val="auto"/>
          <w:spacing w:val="5"/>
          <w:sz w:val="24"/>
          <w:szCs w:val="24"/>
          <w:highlight w:val="none"/>
          <w:u w:val="single"/>
          <w:lang w:eastAsia="zh-CN"/>
        </w:rPr>
        <w:t>批保障房配套商业招租</w:t>
      </w:r>
      <w:r>
        <w:rPr>
          <w:rFonts w:hint="eastAsia" w:ascii="仿宋_GB2312" w:hAnsi="仿宋_GB2312" w:eastAsia="仿宋_GB2312" w:cs="仿宋_GB2312"/>
          <w:color w:val="auto"/>
          <w:spacing w:val="68"/>
          <w:sz w:val="24"/>
          <w:szCs w:val="24"/>
          <w:highlight w:val="none"/>
          <w:lang w:eastAsia="zh-CN"/>
        </w:rPr>
        <w:t>（</w:t>
      </w:r>
      <w:r>
        <w:rPr>
          <w:rFonts w:hint="eastAsia" w:ascii="仿宋_GB2312" w:hAnsi="仿宋_GB2312" w:eastAsia="仿宋_GB2312" w:cs="仿宋_GB2312"/>
          <w:color w:val="auto"/>
          <w:spacing w:val="5"/>
          <w:sz w:val="24"/>
          <w:szCs w:val="24"/>
          <w:highlight w:val="none"/>
          <w:lang w:eastAsia="zh-CN"/>
        </w:rPr>
        <w:t>以下简称“标的”）</w:t>
      </w:r>
    </w:p>
    <w:p w14:paraId="61DE4231">
      <w:pPr>
        <w:pStyle w:val="3"/>
        <w:kinsoku/>
        <w:autoSpaceDE/>
        <w:autoSpaceDN/>
        <w:spacing w:before="0"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二、竞价标的调查义务</w:t>
      </w:r>
    </w:p>
    <w:p w14:paraId="269E499D">
      <w:pPr>
        <w:pStyle w:val="3"/>
        <w:kinsoku/>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竞价公告信息发布后，符合竞价人资格要求且有意参加公开竞价的意向人，在申请报名前，对拟出租</w:t>
      </w:r>
      <w:r>
        <w:rPr>
          <w:rFonts w:hint="eastAsia" w:ascii="仿宋_GB2312" w:hAnsi="仿宋_GB2312" w:eastAsia="仿宋_GB2312" w:cs="仿宋_GB2312"/>
          <w:color w:val="auto"/>
          <w:spacing w:val="8"/>
          <w:sz w:val="24"/>
          <w:szCs w:val="24"/>
          <w:highlight w:val="none"/>
          <w:lang w:eastAsia="zh-CN"/>
        </w:rPr>
        <w:t>房产、附属设施及其周围环境等进行勘察，以获取有关编制竞价相应材料和签</w:t>
      </w:r>
      <w:r>
        <w:rPr>
          <w:rFonts w:hint="eastAsia" w:ascii="仿宋_GB2312" w:hAnsi="仿宋_GB2312" w:eastAsia="仿宋_GB2312" w:cs="仿宋_GB2312"/>
          <w:color w:val="auto"/>
          <w:spacing w:val="7"/>
          <w:sz w:val="24"/>
          <w:szCs w:val="24"/>
          <w:highlight w:val="none"/>
          <w:lang w:eastAsia="zh-CN"/>
        </w:rPr>
        <w:t>署合同所需了解的全部情况，</w:t>
      </w:r>
      <w:r>
        <w:rPr>
          <w:rFonts w:hint="eastAsia" w:ascii="仿宋_GB2312" w:hAnsi="仿宋_GB2312" w:eastAsia="仿宋_GB2312" w:cs="仿宋_GB2312"/>
          <w:color w:val="auto"/>
          <w:spacing w:val="11"/>
          <w:sz w:val="24"/>
          <w:szCs w:val="24"/>
          <w:highlight w:val="none"/>
          <w:lang w:eastAsia="zh-CN"/>
        </w:rPr>
        <w:t>电子签章确认在交易系统上的所有竞价文件及其附件，电子签章确认后即表明竞价人对</w:t>
      </w:r>
      <w:r>
        <w:rPr>
          <w:rFonts w:hint="eastAsia" w:ascii="仿宋_GB2312" w:hAnsi="仿宋_GB2312" w:eastAsia="仿宋_GB2312" w:cs="仿宋_GB2312"/>
          <w:color w:val="auto"/>
          <w:spacing w:val="10"/>
          <w:sz w:val="24"/>
          <w:szCs w:val="24"/>
          <w:highlight w:val="none"/>
          <w:lang w:eastAsia="zh-CN"/>
        </w:rPr>
        <w:t>标的面积、水电、</w:t>
      </w:r>
      <w:r>
        <w:rPr>
          <w:rFonts w:hint="eastAsia" w:ascii="仿宋_GB2312" w:hAnsi="仿宋_GB2312" w:eastAsia="仿宋_GB2312" w:cs="仿宋_GB2312"/>
          <w:color w:val="auto"/>
          <w:spacing w:val="11"/>
          <w:sz w:val="24"/>
          <w:szCs w:val="24"/>
          <w:highlight w:val="none"/>
          <w:lang w:eastAsia="zh-CN"/>
        </w:rPr>
        <w:t>房屋现状均予以确认，后续如产生异议及损失，请自行承担。出租方将为所有竞价人现场</w:t>
      </w:r>
      <w:r>
        <w:rPr>
          <w:rFonts w:hint="eastAsia" w:ascii="仿宋_GB2312" w:hAnsi="仿宋_GB2312" w:eastAsia="仿宋_GB2312" w:cs="仿宋_GB2312"/>
          <w:color w:val="auto"/>
          <w:spacing w:val="10"/>
          <w:sz w:val="24"/>
          <w:szCs w:val="24"/>
          <w:highlight w:val="none"/>
          <w:lang w:eastAsia="zh-CN"/>
        </w:rPr>
        <w:t>勘察提供方便，</w:t>
      </w:r>
      <w:r>
        <w:rPr>
          <w:rFonts w:hint="eastAsia" w:ascii="仿宋_GB2312" w:hAnsi="仿宋_GB2312" w:eastAsia="仿宋_GB2312" w:cs="仿宋_GB2312"/>
          <w:color w:val="auto"/>
          <w:spacing w:val="9"/>
          <w:sz w:val="24"/>
          <w:szCs w:val="24"/>
          <w:highlight w:val="none"/>
          <w:lang w:eastAsia="zh-CN"/>
        </w:rPr>
        <w:t>但现场勘察所发生的费用（包括但不局限于交通费等）应由竞价人自己承</w:t>
      </w:r>
      <w:r>
        <w:rPr>
          <w:rFonts w:hint="eastAsia" w:ascii="仿宋_GB2312" w:hAnsi="仿宋_GB2312" w:eastAsia="仿宋_GB2312" w:cs="仿宋_GB2312"/>
          <w:color w:val="auto"/>
          <w:spacing w:val="8"/>
          <w:sz w:val="24"/>
          <w:szCs w:val="24"/>
          <w:highlight w:val="none"/>
          <w:lang w:eastAsia="zh-CN"/>
        </w:rPr>
        <w:t>担。</w:t>
      </w:r>
    </w:p>
    <w:p w14:paraId="217AD086">
      <w:pPr>
        <w:pStyle w:val="3"/>
        <w:kinsoku/>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本次竞价是以标的现状（包括地址、面积、房屋质量现状等）进行竞价。甲方已经在竞价前通过相关媒体及网站上进行了公告和标的展示，同时向乙方充分展示了标的涉及的文书材料和标的的实际状况，乙方</w:t>
      </w:r>
      <w:r>
        <w:rPr>
          <w:rFonts w:hint="eastAsia" w:ascii="仿宋_GB2312" w:hAnsi="仿宋_GB2312" w:eastAsia="仿宋_GB2312" w:cs="仿宋_GB2312"/>
          <w:color w:val="auto"/>
          <w:spacing w:val="7"/>
          <w:sz w:val="24"/>
          <w:szCs w:val="24"/>
          <w:highlight w:val="none"/>
          <w:lang w:eastAsia="zh-CN"/>
        </w:rPr>
        <w:t>在公告规定的展示期间内，已对标的进行了了解、咨询</w:t>
      </w:r>
      <w:r>
        <w:rPr>
          <w:rFonts w:hint="eastAsia" w:ascii="仿宋_GB2312" w:hAnsi="仿宋_GB2312" w:eastAsia="仿宋_GB2312" w:cs="仿宋_GB2312"/>
          <w:color w:val="auto"/>
          <w:spacing w:val="6"/>
          <w:sz w:val="24"/>
          <w:szCs w:val="24"/>
          <w:highlight w:val="none"/>
          <w:lang w:eastAsia="zh-CN"/>
        </w:rPr>
        <w:t>，自愿通过交易系统参加本次竞价。</w:t>
      </w:r>
    </w:p>
    <w:p w14:paraId="7F9E58E7">
      <w:pPr>
        <w:pStyle w:val="3"/>
        <w:kinsoku/>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甲、乙双方签署本协议，即视为甲方已经</w:t>
      </w:r>
      <w:r>
        <w:rPr>
          <w:rFonts w:hint="eastAsia" w:ascii="仿宋_GB2312" w:hAnsi="仿宋_GB2312" w:eastAsia="仿宋_GB2312" w:cs="仿宋_GB2312"/>
          <w:color w:val="auto"/>
          <w:spacing w:val="11"/>
          <w:sz w:val="24"/>
          <w:szCs w:val="24"/>
          <w:highlight w:val="none"/>
          <w:lang w:val="en-US" w:eastAsia="zh-CN"/>
        </w:rPr>
        <w:t>已通过公告、文件展示及现场看样等公开方式</w:t>
      </w:r>
      <w:r>
        <w:rPr>
          <w:rFonts w:hint="eastAsia" w:ascii="仿宋_GB2312" w:hAnsi="仿宋_GB2312" w:eastAsia="仿宋_GB2312" w:cs="仿宋_GB2312"/>
          <w:color w:val="auto"/>
          <w:spacing w:val="11"/>
          <w:sz w:val="24"/>
          <w:szCs w:val="24"/>
          <w:highlight w:val="none"/>
          <w:lang w:eastAsia="zh-CN"/>
        </w:rPr>
        <w:t>就竞价标的的来源、瑕疵和风险向乙方完</w:t>
      </w:r>
      <w:r>
        <w:rPr>
          <w:rFonts w:hint="eastAsia" w:ascii="仿宋_GB2312" w:hAnsi="仿宋_GB2312" w:eastAsia="仿宋_GB2312" w:cs="仿宋_GB2312"/>
          <w:color w:val="auto"/>
          <w:spacing w:val="10"/>
          <w:sz w:val="24"/>
          <w:szCs w:val="24"/>
          <w:highlight w:val="none"/>
          <w:lang w:eastAsia="zh-CN"/>
        </w:rPr>
        <w:t>成了充分的披露和说明，同时乙方承诺自行到相关部门了解、调查标的风险，在竞价前对标的的情况和价值进行自我判定，</w:t>
      </w:r>
      <w:r>
        <w:rPr>
          <w:rFonts w:hint="eastAsia" w:ascii="仿宋_GB2312" w:hAnsi="仿宋_GB2312" w:eastAsia="仿宋_GB2312" w:cs="仿宋_GB2312"/>
          <w:color w:val="auto"/>
          <w:spacing w:val="9"/>
          <w:sz w:val="24"/>
          <w:szCs w:val="24"/>
          <w:highlight w:val="none"/>
          <w:lang w:eastAsia="zh-CN"/>
        </w:rPr>
        <w:t>竞价成交后甲方及</w:t>
      </w:r>
      <w:r>
        <w:rPr>
          <w:rFonts w:hint="eastAsia" w:ascii="仿宋_GB2312" w:hAnsi="仿宋_GB2312" w:eastAsia="仿宋_GB2312" w:cs="仿宋_GB2312"/>
          <w:color w:val="auto"/>
          <w:spacing w:val="9"/>
          <w:sz w:val="24"/>
          <w:szCs w:val="24"/>
          <w:highlight w:val="none"/>
          <w:lang w:val="en-US" w:eastAsia="zh-CN"/>
        </w:rPr>
        <w:t>招标人（下称“交易实施主体”）</w:t>
      </w:r>
      <w:r>
        <w:rPr>
          <w:rFonts w:hint="eastAsia" w:ascii="仿宋_GB2312" w:hAnsi="仿宋_GB2312" w:eastAsia="仿宋_GB2312" w:cs="仿宋_GB2312"/>
          <w:color w:val="auto"/>
          <w:spacing w:val="9"/>
          <w:sz w:val="24"/>
          <w:szCs w:val="24"/>
          <w:highlight w:val="none"/>
          <w:lang w:eastAsia="zh-CN"/>
        </w:rPr>
        <w:t>对于标的及标的指向的价值、面积和瑕疵等不承担担保责任。</w:t>
      </w:r>
    </w:p>
    <w:p w14:paraId="78C586E8">
      <w:pPr>
        <w:pStyle w:val="3"/>
        <w:kinsoku/>
        <w:autoSpaceDE/>
        <w:autoSpaceDN/>
        <w:spacing w:before="0"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三、标的瑕疵担保责任的免除</w:t>
      </w:r>
    </w:p>
    <w:p w14:paraId="4CD56F30">
      <w:pPr>
        <w:pStyle w:val="3"/>
        <w:kinsoku/>
        <w:autoSpaceDE/>
        <w:autoSpaceDN/>
        <w:spacing w:before="0" w:line="440" w:lineRule="exact"/>
        <w:ind w:left="0" w:leftChars="0" w:right="0" w:rightChars="0" w:firstLine="508"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7"/>
          <w:sz w:val="24"/>
          <w:szCs w:val="24"/>
          <w:highlight w:val="none"/>
          <w:lang w:eastAsia="zh-CN"/>
        </w:rPr>
        <w:t>（一）本次是以标的现状进行竞价，会前提供的各项数据仅供参考，甲方及交易实施主体均不作保证。</w:t>
      </w:r>
    </w:p>
    <w:p w14:paraId="3317567C">
      <w:pPr>
        <w:pStyle w:val="3"/>
        <w:kinsoku/>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本次竞价的房产地址门牌号码、面积，以开发商在厦门市相关政府部门备案或者办理产权登记后的权</w:t>
      </w:r>
      <w:r>
        <w:rPr>
          <w:rFonts w:hint="eastAsia" w:ascii="仿宋_GB2312" w:hAnsi="仿宋_GB2312" w:eastAsia="仿宋_GB2312" w:cs="仿宋_GB2312"/>
          <w:color w:val="auto"/>
          <w:spacing w:val="11"/>
          <w:sz w:val="24"/>
          <w:szCs w:val="24"/>
          <w:highlight w:val="none"/>
          <w:lang w:eastAsia="zh-CN"/>
        </w:rPr>
        <w:t>证登记信息为准，未办理产权证的，以相关测绘</w:t>
      </w:r>
      <w:r>
        <w:rPr>
          <w:rFonts w:hint="eastAsia" w:ascii="仿宋_GB2312" w:hAnsi="仿宋_GB2312" w:eastAsia="仿宋_GB2312" w:cs="仿宋_GB2312"/>
          <w:color w:val="auto"/>
          <w:spacing w:val="10"/>
          <w:sz w:val="24"/>
          <w:szCs w:val="24"/>
          <w:highlight w:val="none"/>
          <w:lang w:eastAsia="zh-CN"/>
        </w:rPr>
        <w:t>文件或者历史移交材料为依据，现物业的图线、房产面积仅作参考，不具效力。竞价成功后，登记信息、测绘信息与标的现物业提供信息不符的，甲方及交易实施主体不</w:t>
      </w:r>
      <w:r>
        <w:rPr>
          <w:rFonts w:hint="eastAsia" w:ascii="仿宋_GB2312" w:hAnsi="仿宋_GB2312" w:eastAsia="仿宋_GB2312" w:cs="仿宋_GB2312"/>
          <w:color w:val="auto"/>
          <w:spacing w:val="6"/>
          <w:sz w:val="24"/>
          <w:szCs w:val="24"/>
          <w:highlight w:val="none"/>
          <w:lang w:eastAsia="zh-CN"/>
        </w:rPr>
        <w:t>承担担保责任。</w:t>
      </w:r>
    </w:p>
    <w:p w14:paraId="215DA8EB">
      <w:pPr>
        <w:pStyle w:val="3"/>
        <w:kinsoku/>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（二）因建筑设计等原因，房产实际可作为经营的使用价值不同，乙方需谨慎对房</w:t>
      </w:r>
      <w:r>
        <w:rPr>
          <w:rFonts w:hint="eastAsia" w:ascii="仿宋_GB2312" w:hAnsi="仿宋_GB2312" w:eastAsia="仿宋_GB2312" w:cs="仿宋_GB2312"/>
          <w:color w:val="auto"/>
          <w:spacing w:val="9"/>
          <w:sz w:val="24"/>
          <w:szCs w:val="24"/>
          <w:highlight w:val="none"/>
          <w:lang w:eastAsia="zh-CN"/>
        </w:rPr>
        <w:t>产进行实地的查验。</w:t>
      </w:r>
      <w:r>
        <w:rPr>
          <w:rFonts w:hint="eastAsia" w:ascii="仿宋_GB2312" w:hAnsi="仿宋_GB2312" w:eastAsia="仿宋_GB2312" w:cs="仿宋_GB2312"/>
          <w:color w:val="auto"/>
          <w:spacing w:val="7"/>
          <w:sz w:val="24"/>
          <w:szCs w:val="24"/>
          <w:highlight w:val="none"/>
          <w:lang w:eastAsia="zh-CN"/>
        </w:rPr>
        <w:t>甲方及交易实施主体对标的的实际使用效用不作保证。</w:t>
      </w:r>
    </w:p>
    <w:p w14:paraId="2125F8FE">
      <w:pPr>
        <w:pStyle w:val="3"/>
        <w:kinsoku/>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（三）此次竞价的标的不以建筑面积为计价单位，甲方与交易实施主体对每个标的的面积、质量等不作保证，</w:t>
      </w:r>
      <w:r>
        <w:rPr>
          <w:rFonts w:hint="eastAsia" w:ascii="仿宋_GB2312" w:hAnsi="仿宋_GB2312" w:eastAsia="仿宋_GB2312" w:cs="仿宋_GB2312"/>
          <w:color w:val="auto"/>
          <w:spacing w:val="9"/>
          <w:sz w:val="24"/>
          <w:szCs w:val="24"/>
          <w:highlight w:val="none"/>
          <w:lang w:eastAsia="zh-CN"/>
        </w:rPr>
        <w:t>标的实际建筑面积与产权登记及甲方提供的参考数据不一致的，不影响标的的成交价格。</w:t>
      </w:r>
    </w:p>
    <w:p w14:paraId="48CDF5E6">
      <w:pPr>
        <w:pStyle w:val="3"/>
        <w:kinsoku/>
        <w:autoSpaceDE/>
        <w:autoSpaceDN/>
        <w:spacing w:before="0" w:line="440" w:lineRule="exact"/>
        <w:ind w:left="0" w:leftChars="0" w:right="0" w:rightChars="0" w:firstLine="508" w:firstLineChars="200"/>
        <w:jc w:val="both"/>
        <w:rPr>
          <w:rFonts w:hint="eastAsia" w:ascii="仿宋_GB2312" w:hAnsi="仿宋_GB2312" w:eastAsia="仿宋_GB2312" w:cs="仿宋_GB2312"/>
          <w:color w:val="auto"/>
          <w:spacing w:val="8"/>
          <w:sz w:val="24"/>
          <w:szCs w:val="24"/>
          <w:highlight w:val="none"/>
          <w:lang w:eastAsia="zh-CN"/>
        </w:rPr>
      </w:pPr>
      <w:r>
        <w:rPr>
          <w:rFonts w:hint="eastAsia" w:ascii="仿宋_GB2312" w:hAnsi="仿宋_GB2312" w:eastAsia="仿宋_GB2312" w:cs="仿宋_GB2312"/>
          <w:color w:val="auto"/>
          <w:spacing w:val="7"/>
          <w:sz w:val="24"/>
          <w:szCs w:val="24"/>
          <w:highlight w:val="none"/>
          <w:lang w:eastAsia="zh-CN"/>
        </w:rPr>
        <w:t>（四）乙方确认并同意甲方已经通过对标的的展示，向乙方明确说明</w:t>
      </w:r>
      <w:r>
        <w:rPr>
          <w:rFonts w:hint="eastAsia" w:ascii="仿宋_GB2312" w:hAnsi="仿宋_GB2312" w:eastAsia="仿宋_GB2312" w:cs="仿宋_GB2312"/>
          <w:color w:val="auto"/>
          <w:spacing w:val="6"/>
          <w:sz w:val="24"/>
          <w:szCs w:val="24"/>
          <w:highlight w:val="none"/>
          <w:lang w:eastAsia="zh-CN"/>
        </w:rPr>
        <w:t>和揭示了标的的瑕疵、缺陷和风险，</w:t>
      </w:r>
      <w:r>
        <w:rPr>
          <w:rFonts w:hint="eastAsia" w:ascii="仿宋_GB2312" w:hAnsi="仿宋_GB2312" w:eastAsia="仿宋_GB2312" w:cs="仿宋_GB2312"/>
          <w:color w:val="auto"/>
          <w:spacing w:val="12"/>
          <w:sz w:val="24"/>
          <w:szCs w:val="24"/>
          <w:highlight w:val="none"/>
          <w:lang w:eastAsia="zh-CN"/>
        </w:rPr>
        <w:t>乙方已经通过查阅文件、现场查看标的知悉上述瑕疵、缺陷和风险，标的出现该等瑕</w:t>
      </w:r>
      <w:r>
        <w:rPr>
          <w:rFonts w:hint="eastAsia" w:ascii="仿宋_GB2312" w:hAnsi="仿宋_GB2312" w:eastAsia="仿宋_GB2312" w:cs="仿宋_GB2312"/>
          <w:color w:val="auto"/>
          <w:spacing w:val="11"/>
          <w:sz w:val="24"/>
          <w:szCs w:val="24"/>
          <w:highlight w:val="none"/>
          <w:lang w:eastAsia="zh-CN"/>
        </w:rPr>
        <w:t>疵、缺陷或风险的，交易实施主体</w:t>
      </w:r>
      <w:r>
        <w:rPr>
          <w:rFonts w:hint="eastAsia" w:ascii="仿宋_GB2312" w:hAnsi="仿宋_GB2312" w:eastAsia="仿宋_GB2312" w:cs="仿宋_GB2312"/>
          <w:color w:val="auto"/>
          <w:spacing w:val="11"/>
          <w:sz w:val="24"/>
          <w:szCs w:val="24"/>
          <w:highlight w:val="none"/>
          <w:lang w:val="en-US" w:eastAsia="zh-CN"/>
        </w:rPr>
        <w:t>及甲方</w:t>
      </w:r>
      <w:r>
        <w:rPr>
          <w:rFonts w:hint="eastAsia" w:ascii="仿宋_GB2312" w:hAnsi="仿宋_GB2312" w:eastAsia="仿宋_GB2312" w:cs="仿宋_GB2312"/>
          <w:color w:val="auto"/>
          <w:spacing w:val="11"/>
          <w:sz w:val="24"/>
          <w:szCs w:val="24"/>
          <w:highlight w:val="none"/>
          <w:lang w:eastAsia="zh-CN"/>
        </w:rPr>
        <w:t>不承担任何责任，乙方成为竞得人后不得因此要求解除本合同，且无权要求交易实施主体及甲方对此采取任何补救措施、支付任何费用或补偿款项或承担任何损害赔偿责任（侵权责任），也无权要求减少、降</w:t>
      </w:r>
      <w:r>
        <w:rPr>
          <w:rFonts w:hint="eastAsia" w:ascii="仿宋_GB2312" w:hAnsi="仿宋_GB2312" w:eastAsia="仿宋_GB2312" w:cs="仿宋_GB2312"/>
          <w:color w:val="auto"/>
          <w:spacing w:val="9"/>
          <w:sz w:val="24"/>
          <w:szCs w:val="24"/>
          <w:highlight w:val="none"/>
          <w:lang w:eastAsia="zh-CN"/>
        </w:rPr>
        <w:t>低成交价款及佣金的金额或拒绝支付成交价款及佣</w:t>
      </w:r>
      <w:r>
        <w:rPr>
          <w:rFonts w:hint="eastAsia" w:ascii="仿宋_GB2312" w:hAnsi="仿宋_GB2312" w:eastAsia="仿宋_GB2312" w:cs="仿宋_GB2312"/>
          <w:color w:val="auto"/>
          <w:spacing w:val="8"/>
          <w:sz w:val="24"/>
          <w:szCs w:val="24"/>
          <w:highlight w:val="none"/>
          <w:lang w:eastAsia="zh-CN"/>
        </w:rPr>
        <w:t>金。</w:t>
      </w:r>
    </w:p>
    <w:p w14:paraId="73EE61C8">
      <w:pPr>
        <w:pStyle w:val="3"/>
        <w:kinsoku/>
        <w:autoSpaceDE/>
        <w:autoSpaceDN/>
        <w:spacing w:before="0" w:line="440" w:lineRule="exact"/>
        <w:ind w:left="0" w:leftChars="0" w:right="0" w:rightChars="0" w:firstLine="514" w:firstLineChars="200"/>
        <w:jc w:val="both"/>
        <w:rPr>
          <w:rFonts w:hint="eastAsia" w:ascii="仿宋_GB2312" w:hAnsi="仿宋_GB2312" w:eastAsia="仿宋_GB2312" w:cs="仿宋_GB2312"/>
          <w:b/>
          <w:bCs/>
          <w:color w:val="auto"/>
          <w:spacing w:val="8"/>
          <w:sz w:val="24"/>
          <w:szCs w:val="24"/>
          <w:highlight w:val="none"/>
          <w:u w:val="single"/>
          <w:lang w:eastAsia="zh-CN"/>
        </w:rPr>
      </w:pPr>
      <w:r>
        <w:rPr>
          <w:rFonts w:hint="eastAsia" w:ascii="仿宋_GB2312" w:hAnsi="仿宋_GB2312" w:eastAsia="仿宋_GB2312" w:cs="仿宋_GB2312"/>
          <w:b/>
          <w:bCs/>
          <w:color w:val="auto"/>
          <w:spacing w:val="8"/>
          <w:sz w:val="24"/>
          <w:szCs w:val="24"/>
          <w:highlight w:val="none"/>
          <w:u w:val="single"/>
          <w:lang w:eastAsia="zh-CN"/>
        </w:rPr>
        <w:t>（</w:t>
      </w:r>
      <w:r>
        <w:rPr>
          <w:rFonts w:hint="eastAsia" w:ascii="仿宋_GB2312" w:hAnsi="仿宋_GB2312" w:eastAsia="仿宋_GB2312" w:cs="仿宋_GB2312"/>
          <w:b/>
          <w:bCs/>
          <w:color w:val="auto"/>
          <w:spacing w:val="8"/>
          <w:sz w:val="24"/>
          <w:szCs w:val="24"/>
          <w:highlight w:val="none"/>
          <w:u w:val="single"/>
          <w:lang w:val="en-US" w:eastAsia="zh-CN"/>
        </w:rPr>
        <w:t>五</w:t>
      </w:r>
      <w:r>
        <w:rPr>
          <w:rFonts w:hint="eastAsia" w:ascii="仿宋_GB2312" w:hAnsi="仿宋_GB2312" w:eastAsia="仿宋_GB2312" w:cs="仿宋_GB2312"/>
          <w:b/>
          <w:bCs/>
          <w:color w:val="auto"/>
          <w:spacing w:val="8"/>
          <w:sz w:val="24"/>
          <w:szCs w:val="24"/>
          <w:highlight w:val="none"/>
          <w:u w:val="single"/>
          <w:lang w:eastAsia="zh-CN"/>
        </w:rPr>
        <w:t>）标的物现状与风险告知</w:t>
      </w:r>
    </w:p>
    <w:p w14:paraId="71D80EED">
      <w:pPr>
        <w:pStyle w:val="3"/>
        <w:kinsoku/>
        <w:autoSpaceDE/>
        <w:autoSpaceDN/>
        <w:spacing w:before="0" w:line="440" w:lineRule="exact"/>
        <w:ind w:left="0" w:leftChars="0" w:right="0" w:rightChars="0" w:firstLine="514" w:firstLineChars="200"/>
        <w:jc w:val="both"/>
        <w:rPr>
          <w:rFonts w:hint="eastAsia" w:ascii="仿宋_GB2312" w:hAnsi="仿宋_GB2312" w:eastAsia="仿宋_GB2312" w:cs="仿宋_GB2312"/>
          <w:b/>
          <w:bCs/>
          <w:color w:val="auto"/>
          <w:spacing w:val="8"/>
          <w:sz w:val="24"/>
          <w:szCs w:val="24"/>
          <w:highlight w:val="none"/>
          <w:u w:val="single"/>
          <w:lang w:val="en-US" w:eastAsia="zh-CN"/>
        </w:rPr>
      </w:pPr>
      <w:r>
        <w:rPr>
          <w:rFonts w:hint="eastAsia" w:ascii="仿宋_GB2312" w:hAnsi="仿宋_GB2312" w:eastAsia="仿宋_GB2312" w:cs="仿宋_GB2312"/>
          <w:b/>
          <w:bCs/>
          <w:color w:val="auto"/>
          <w:spacing w:val="8"/>
          <w:sz w:val="24"/>
          <w:szCs w:val="24"/>
          <w:highlight w:val="none"/>
          <w:u w:val="single"/>
          <w:lang w:eastAsia="zh-CN"/>
        </w:rPr>
        <w:t>1.自行查证义务:各意向竞价人须在公告指定的看样时间内，亲自或委托代理人前往标的物现场进行实地查勘。竞价人应基于自身商业判断，对标的物的位置、面积、结构、配套设施、现有装修、已知的物理状况及周边环境等一切现状进行独立、全面、审慎的核查。</w:t>
      </w:r>
    </w:p>
    <w:p w14:paraId="186A33C7">
      <w:pPr>
        <w:pStyle w:val="3"/>
        <w:kinsoku/>
        <w:autoSpaceDE/>
        <w:autoSpaceDN/>
        <w:spacing w:before="0" w:line="440" w:lineRule="exact"/>
        <w:ind w:left="0" w:leftChars="0" w:right="0" w:rightChars="0" w:firstLine="514" w:firstLineChars="200"/>
        <w:jc w:val="both"/>
        <w:rPr>
          <w:rFonts w:hint="eastAsia" w:ascii="仿宋_GB2312" w:hAnsi="仿宋_GB2312" w:eastAsia="仿宋_GB2312" w:cs="仿宋_GB2312"/>
          <w:b/>
          <w:bCs/>
          <w:color w:val="auto"/>
          <w:spacing w:val="8"/>
          <w:sz w:val="24"/>
          <w:szCs w:val="24"/>
          <w:highlight w:val="none"/>
          <w:u w:val="single"/>
          <w:lang w:eastAsia="zh-CN"/>
        </w:rPr>
      </w:pPr>
      <w:r>
        <w:rPr>
          <w:rFonts w:hint="eastAsia" w:ascii="仿宋_GB2312" w:hAnsi="仿宋_GB2312" w:eastAsia="仿宋_GB2312" w:cs="仿宋_GB2312"/>
          <w:b/>
          <w:bCs/>
          <w:color w:val="auto"/>
          <w:spacing w:val="8"/>
          <w:sz w:val="24"/>
          <w:szCs w:val="24"/>
          <w:highlight w:val="none"/>
          <w:u w:val="single"/>
          <w:lang w:eastAsia="zh-CN"/>
        </w:rPr>
        <w:t>2.信息知悉确认:</w:t>
      </w:r>
      <w:r>
        <w:rPr>
          <w:rFonts w:hint="eastAsia" w:ascii="仿宋_GB2312" w:hAnsi="仿宋_GB2312" w:eastAsia="仿宋_GB2312" w:cs="仿宋_GB2312"/>
          <w:b/>
          <w:bCs/>
          <w:color w:val="auto"/>
          <w:spacing w:val="8"/>
          <w:sz w:val="24"/>
          <w:szCs w:val="24"/>
          <w:highlight w:val="none"/>
          <w:u w:val="single"/>
          <w:lang w:val="en-US" w:eastAsia="zh-CN"/>
        </w:rPr>
        <w:t>甲方</w:t>
      </w:r>
      <w:r>
        <w:rPr>
          <w:rFonts w:hint="eastAsia" w:ascii="仿宋_GB2312" w:hAnsi="仿宋_GB2312" w:eastAsia="仿宋_GB2312" w:cs="仿宋_GB2312"/>
          <w:b/>
          <w:bCs/>
          <w:color w:val="auto"/>
          <w:spacing w:val="8"/>
          <w:sz w:val="24"/>
          <w:szCs w:val="24"/>
          <w:highlight w:val="none"/>
          <w:u w:val="single"/>
          <w:lang w:eastAsia="zh-CN"/>
        </w:rPr>
        <w:t>已通过本公告、相关文件及标的物现场展示等渠道，披露其所知的标的物相关信息。竞价人参与本次竞价，即视为其已确认:在出价前已充分行使上述查勘权利，并对标的物的现状、使用条件及可能存在的瑕疵(包括但不限于已知或应知的缺陷)具有充分了解。</w:t>
      </w:r>
    </w:p>
    <w:p w14:paraId="631BCF01">
      <w:pPr>
        <w:pStyle w:val="3"/>
        <w:kinsoku/>
        <w:autoSpaceDE/>
        <w:autoSpaceDN/>
        <w:spacing w:before="0" w:line="440" w:lineRule="exact"/>
        <w:ind w:left="0" w:leftChars="0" w:right="0" w:rightChars="0" w:firstLine="514" w:firstLineChars="200"/>
        <w:jc w:val="both"/>
        <w:rPr>
          <w:rFonts w:hint="eastAsia" w:ascii="仿宋_GB2312" w:hAnsi="仿宋_GB2312" w:eastAsia="仿宋_GB2312" w:cs="仿宋_GB2312"/>
          <w:b/>
          <w:bCs/>
          <w:color w:val="auto"/>
          <w:spacing w:val="8"/>
          <w:sz w:val="24"/>
          <w:szCs w:val="24"/>
          <w:highlight w:val="none"/>
          <w:u w:val="single"/>
          <w:lang w:eastAsia="zh-CN"/>
        </w:rPr>
      </w:pPr>
      <w:r>
        <w:rPr>
          <w:rFonts w:hint="eastAsia" w:ascii="仿宋_GB2312" w:hAnsi="仿宋_GB2312" w:eastAsia="仿宋_GB2312" w:cs="仿宋_GB2312"/>
          <w:b/>
          <w:bCs/>
          <w:color w:val="auto"/>
          <w:spacing w:val="8"/>
          <w:sz w:val="24"/>
          <w:szCs w:val="24"/>
          <w:highlight w:val="none"/>
          <w:u w:val="single"/>
          <w:lang w:eastAsia="zh-CN"/>
        </w:rPr>
        <w:t>3.风险承担原则:基于前述核查，竞价人应自行评估并承担与标的物现状相关的商业风险与使用风险。中标后，除法律另有明确规定或</w:t>
      </w:r>
      <w:r>
        <w:rPr>
          <w:rFonts w:hint="eastAsia" w:ascii="仿宋_GB2312" w:hAnsi="仿宋_GB2312" w:eastAsia="仿宋_GB2312" w:cs="仿宋_GB2312"/>
          <w:b/>
          <w:bCs/>
          <w:color w:val="auto"/>
          <w:spacing w:val="8"/>
          <w:sz w:val="24"/>
          <w:szCs w:val="24"/>
          <w:highlight w:val="none"/>
          <w:u w:val="single"/>
          <w:lang w:val="en-US" w:eastAsia="zh-CN"/>
        </w:rPr>
        <w:t>交易实施主体</w:t>
      </w:r>
      <w:r>
        <w:rPr>
          <w:rFonts w:hint="eastAsia" w:ascii="仿宋_GB2312" w:hAnsi="仿宋_GB2312" w:eastAsia="仿宋_GB2312" w:cs="仿宋_GB2312"/>
          <w:b/>
          <w:bCs/>
          <w:color w:val="auto"/>
          <w:spacing w:val="8"/>
          <w:sz w:val="24"/>
          <w:szCs w:val="24"/>
          <w:highlight w:val="none"/>
          <w:u w:val="single"/>
          <w:lang w:eastAsia="zh-CN"/>
        </w:rPr>
        <w:t>存在故意隐瞒的情形外，因标的物现状(包括其已知或未知的瑕疵)导致的维修、改造、使用限制或因此产生的任何费用、损失，原则上由中标人自行负责。</w:t>
      </w:r>
    </w:p>
    <w:p w14:paraId="431EDB73">
      <w:pPr>
        <w:pStyle w:val="3"/>
        <w:kinsoku/>
        <w:autoSpaceDE/>
        <w:autoSpaceDN/>
        <w:spacing w:before="0" w:line="440" w:lineRule="exact"/>
        <w:ind w:left="0" w:leftChars="0" w:right="0" w:rightChars="0" w:firstLine="514" w:firstLineChars="200"/>
        <w:jc w:val="both"/>
        <w:rPr>
          <w:rFonts w:hint="default" w:ascii="仿宋_GB2312" w:hAnsi="仿宋_GB2312" w:eastAsia="仿宋_GB2312" w:cs="仿宋_GB2312"/>
          <w:b/>
          <w:bCs/>
          <w:color w:val="auto"/>
          <w:spacing w:val="8"/>
          <w:sz w:val="24"/>
          <w:szCs w:val="24"/>
          <w:highlight w:val="none"/>
          <w:u w:val="single"/>
          <w:lang w:val="en-US" w:eastAsia="zh-CN"/>
        </w:rPr>
      </w:pPr>
      <w:r>
        <w:rPr>
          <w:rFonts w:hint="eastAsia" w:ascii="仿宋_GB2312" w:hAnsi="仿宋_GB2312" w:eastAsia="仿宋_GB2312" w:cs="仿宋_GB2312"/>
          <w:b/>
          <w:bCs/>
          <w:color w:val="auto"/>
          <w:spacing w:val="8"/>
          <w:sz w:val="24"/>
          <w:szCs w:val="24"/>
          <w:highlight w:val="none"/>
          <w:u w:val="single"/>
          <w:lang w:eastAsia="zh-CN"/>
        </w:rPr>
        <w:t>4.责任限制:</w:t>
      </w:r>
      <w:r>
        <w:rPr>
          <w:rFonts w:hint="eastAsia" w:ascii="仿宋_GB2312" w:hAnsi="仿宋_GB2312" w:eastAsia="仿宋_GB2312" w:cs="仿宋_GB2312"/>
          <w:b/>
          <w:bCs/>
          <w:color w:val="auto"/>
          <w:spacing w:val="8"/>
          <w:sz w:val="24"/>
          <w:szCs w:val="24"/>
          <w:highlight w:val="none"/>
          <w:u w:val="single"/>
          <w:lang w:val="en-US" w:eastAsia="zh-CN"/>
        </w:rPr>
        <w:t>甲方</w:t>
      </w:r>
      <w:r>
        <w:rPr>
          <w:rFonts w:hint="eastAsia" w:ascii="仿宋_GB2312" w:hAnsi="仿宋_GB2312" w:eastAsia="仿宋_GB2312" w:cs="仿宋_GB2312"/>
          <w:b/>
          <w:bCs/>
          <w:color w:val="auto"/>
          <w:spacing w:val="8"/>
          <w:sz w:val="24"/>
          <w:szCs w:val="24"/>
          <w:highlight w:val="none"/>
          <w:u w:val="single"/>
          <w:lang w:eastAsia="zh-CN"/>
        </w:rPr>
        <w:t>就标的物符合特定用途或不存在瑕疵不作任何保证。中标人不得仅以标的物存在可通过现场查勘发现的瑕疵为由，主张解除合同、减少租金、拒绝支付款项或</w:t>
      </w:r>
      <w:r>
        <w:rPr>
          <w:rFonts w:hint="eastAsia" w:ascii="仿宋_GB2312" w:hAnsi="仿宋_GB2312" w:eastAsia="仿宋_GB2312" w:cs="仿宋_GB2312"/>
          <w:b/>
          <w:bCs/>
          <w:color w:val="auto"/>
          <w:spacing w:val="8"/>
          <w:sz w:val="24"/>
          <w:szCs w:val="24"/>
          <w:highlight w:val="none"/>
          <w:u w:val="single"/>
          <w:lang w:val="en-US" w:eastAsia="zh-CN"/>
        </w:rPr>
        <w:t>要求索赔。甲方仅为中介代理机构，不承担招标人权利义务，所有租赁责任由交易实施主体承担。</w:t>
      </w:r>
    </w:p>
    <w:p w14:paraId="205F594A">
      <w:pPr>
        <w:pStyle w:val="3"/>
        <w:kinsoku/>
        <w:autoSpaceDE/>
        <w:autoSpaceDN/>
        <w:spacing w:before="0" w:line="440" w:lineRule="exact"/>
        <w:ind w:left="0" w:leftChars="0" w:right="0" w:rightChars="0" w:firstLine="462" w:firstLineChars="200"/>
        <w:jc w:val="both"/>
        <w:rPr>
          <w:rFonts w:hint="eastAsia" w:ascii="仿宋_GB2312" w:hAnsi="仿宋_GB2312" w:eastAsia="仿宋_GB2312" w:cs="仿宋_GB2312"/>
          <w:b/>
          <w:bCs/>
          <w:color w:val="auto"/>
          <w:spacing w:val="-5"/>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四、竞价资格、竞价申请</w:t>
      </w:r>
    </w:p>
    <w:p w14:paraId="04F13278">
      <w:pPr>
        <w:pStyle w:val="3"/>
        <w:kinsoku/>
        <w:autoSpaceDE/>
        <w:autoSpaceDN/>
        <w:spacing w:before="0" w:line="440" w:lineRule="exact"/>
        <w:ind w:left="0" w:leftChars="0" w:right="0" w:rightChars="0" w:firstLine="490" w:firstLineChars="200"/>
        <w:jc w:val="both"/>
        <w:rPr>
          <w:rFonts w:hint="eastAsia" w:ascii="仿宋_GB2312" w:hAnsi="仿宋_GB2312" w:eastAsia="仿宋_GB2312" w:cs="仿宋_GB2312"/>
          <w:b/>
          <w:bCs/>
          <w:color w:val="auto"/>
          <w:spacing w:val="2"/>
          <w:sz w:val="24"/>
          <w:szCs w:val="24"/>
          <w:highlight w:val="none"/>
          <w:lang w:eastAsia="zh-CN"/>
        </w:rPr>
      </w:pPr>
      <w:r>
        <w:rPr>
          <w:rFonts w:hint="eastAsia" w:ascii="仿宋_GB2312" w:hAnsi="仿宋_GB2312" w:eastAsia="仿宋_GB2312" w:cs="仿宋_GB2312"/>
          <w:b/>
          <w:bCs/>
          <w:color w:val="auto"/>
          <w:spacing w:val="2"/>
          <w:sz w:val="24"/>
          <w:szCs w:val="24"/>
          <w:highlight w:val="none"/>
          <w:lang w:eastAsia="zh-CN"/>
        </w:rPr>
        <w:t>竞价资格：</w:t>
      </w:r>
    </w:p>
    <w:p w14:paraId="3429DD1E">
      <w:pPr>
        <w:kinsoku/>
        <w:autoSpaceDE/>
        <w:autoSpaceDN/>
        <w:spacing w:line="440" w:lineRule="exact"/>
        <w:ind w:left="0" w:leftChars="0" w:right="0" w:rightChars="0" w:firstLine="532" w:firstLineChars="200"/>
        <w:jc w:val="both"/>
        <w:textAlignment w:val="auto"/>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val="en-US" w:eastAsia="zh-CN"/>
        </w:rPr>
        <w:t>（一）</w:t>
      </w:r>
      <w:r>
        <w:rPr>
          <w:rFonts w:hint="eastAsia" w:ascii="仿宋_GB2312" w:hAnsi="仿宋_GB2312" w:eastAsia="仿宋_GB2312" w:cs="仿宋_GB2312"/>
          <w:color w:val="auto"/>
          <w:spacing w:val="13"/>
          <w:sz w:val="24"/>
          <w:szCs w:val="24"/>
          <w:highlight w:val="none"/>
          <w:lang w:eastAsia="zh-CN"/>
        </w:rPr>
        <w:t>竞价人必须是具有完全民事行为能力的自然人，以及依法设立的法人和其他组织；竞得人需充分知晓并接受：竞得人为境内法人组织的，在成功竞得标的后双方签订《房屋租赁合同》时其法定代表人需另行签订《担保函》(个人)作为合同附件，为《房屋租赁合同》项下竞得人所负全部责任与应尽义务承担连带担保责任（具体担保内容以房屋租赁合同附件《担保函》为准）。竞得人成功竞得标的后其法定代表人拒绝签订上述担保函的，招租人有权单方面没收竞得人的竞价保证金并重新对标的物进行招租，竞得人无权要求返还保证金亦不得提出异议。</w:t>
      </w:r>
    </w:p>
    <w:p w14:paraId="4514923A">
      <w:pPr>
        <w:kinsoku/>
        <w:autoSpaceDE/>
        <w:autoSpaceDN/>
        <w:spacing w:line="440" w:lineRule="exact"/>
        <w:ind w:left="0" w:leftChars="0" w:right="0" w:rightChars="0" w:firstLine="532" w:firstLineChars="200"/>
        <w:jc w:val="both"/>
        <w:textAlignment w:val="auto"/>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eastAsia="zh-CN"/>
        </w:rPr>
        <w:t>（</w:t>
      </w:r>
      <w:r>
        <w:rPr>
          <w:rFonts w:hint="eastAsia" w:ascii="仿宋_GB2312" w:hAnsi="仿宋_GB2312" w:eastAsia="仿宋_GB2312" w:cs="仿宋_GB2312"/>
          <w:color w:val="auto"/>
          <w:spacing w:val="13"/>
          <w:sz w:val="24"/>
          <w:szCs w:val="24"/>
          <w:highlight w:val="none"/>
          <w:lang w:val="en-US" w:eastAsia="zh-CN"/>
        </w:rPr>
        <w:t>二</w:t>
      </w:r>
      <w:r>
        <w:rPr>
          <w:rFonts w:hint="eastAsia" w:ascii="仿宋_GB2312" w:hAnsi="仿宋_GB2312" w:eastAsia="仿宋_GB2312" w:cs="仿宋_GB2312"/>
          <w:color w:val="auto"/>
          <w:spacing w:val="13"/>
          <w:sz w:val="24"/>
          <w:szCs w:val="24"/>
          <w:highlight w:val="none"/>
          <w:lang w:eastAsia="zh-CN"/>
        </w:rPr>
        <w:t>）未被列入社会信用系统严重失信主体名单，主要为失信被执行人、重大税收违法案件当事人、海关失信认证企业名单以及安全生产、出入境检验检疫等领域的严重失信主体名单，政府采购严重违法失信行为记录名单等。通过“信用中国（福建厦门）”（https://credit.xm.gov.cn/）、“中国执行信息公开网”（http://zxgk.court.gov.cn/）、“中国政府采购网”（http://www.ccgp.gov.cn/）等公开渠道查询的本单位信用记录，不存在《中华人民共和国政府采购法实施条例》第十九条规定的行政处罚记录等。</w:t>
      </w:r>
    </w:p>
    <w:p w14:paraId="72E06179">
      <w:pPr>
        <w:kinsoku/>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val="en-US" w:eastAsia="zh-CN"/>
        </w:rPr>
      </w:pPr>
      <w:r>
        <w:rPr>
          <w:rFonts w:hint="eastAsia" w:ascii="仿宋_GB2312" w:hAnsi="仿宋_GB2312" w:eastAsia="仿宋_GB2312" w:cs="仿宋_GB2312"/>
          <w:color w:val="auto"/>
          <w:spacing w:val="13"/>
          <w:sz w:val="24"/>
          <w:szCs w:val="24"/>
          <w:highlight w:val="none"/>
          <w:lang w:eastAsia="zh-CN"/>
        </w:rPr>
        <w:t>（</w:t>
      </w:r>
      <w:r>
        <w:rPr>
          <w:rFonts w:hint="eastAsia" w:ascii="仿宋_GB2312" w:hAnsi="仿宋_GB2312" w:eastAsia="仿宋_GB2312" w:cs="仿宋_GB2312"/>
          <w:color w:val="auto"/>
          <w:spacing w:val="13"/>
          <w:sz w:val="24"/>
          <w:szCs w:val="24"/>
          <w:highlight w:val="none"/>
          <w:lang w:val="en-US" w:eastAsia="zh-CN"/>
        </w:rPr>
        <w:t>三</w:t>
      </w:r>
      <w:r>
        <w:rPr>
          <w:rFonts w:hint="eastAsia" w:ascii="仿宋_GB2312" w:hAnsi="仿宋_GB2312" w:eastAsia="仿宋_GB2312" w:cs="仿宋_GB2312"/>
          <w:color w:val="auto"/>
          <w:spacing w:val="13"/>
          <w:sz w:val="24"/>
          <w:szCs w:val="24"/>
          <w:highlight w:val="none"/>
          <w:lang w:eastAsia="zh-CN"/>
        </w:rPr>
        <w:t>）租赁业态：标的</w:t>
      </w:r>
      <w:r>
        <w:rPr>
          <w:rFonts w:hint="eastAsia" w:ascii="仿宋_GB2312" w:hAnsi="仿宋_GB2312" w:eastAsia="仿宋_GB2312" w:cs="仿宋_GB2312"/>
          <w:color w:val="auto"/>
          <w:spacing w:val="13"/>
          <w:sz w:val="24"/>
          <w:szCs w:val="24"/>
          <w:highlight w:val="none"/>
          <w:lang w:val="en-US" w:eastAsia="zh-CN"/>
        </w:rPr>
        <w:t>1</w:t>
      </w:r>
      <w:r>
        <w:rPr>
          <w:rFonts w:hint="eastAsia" w:ascii="仿宋_GB2312" w:hAnsi="仿宋_GB2312" w:eastAsia="仿宋_GB2312" w:cs="仿宋_GB2312"/>
          <w:color w:val="auto"/>
          <w:spacing w:val="13"/>
          <w:sz w:val="24"/>
          <w:szCs w:val="24"/>
          <w:highlight w:val="none"/>
          <w:lang w:eastAsia="zh-CN"/>
        </w:rPr>
        <w:t>至</w:t>
      </w:r>
      <w:r>
        <w:rPr>
          <w:rFonts w:hint="eastAsia" w:ascii="仿宋_GB2312" w:hAnsi="仿宋_GB2312" w:eastAsia="仿宋_GB2312" w:cs="仿宋_GB2312"/>
          <w:color w:val="auto"/>
          <w:spacing w:val="13"/>
          <w:sz w:val="24"/>
          <w:szCs w:val="24"/>
          <w:highlight w:val="none"/>
          <w:lang w:val="en-US" w:eastAsia="zh-CN"/>
        </w:rPr>
        <w:t>5为特定标的：</w:t>
      </w:r>
    </w:p>
    <w:p w14:paraId="61786D9B">
      <w:pPr>
        <w:kinsoku/>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val="en-US" w:eastAsia="zh-CN"/>
        </w:rPr>
        <w:t>1.孚莲一里783号-1层面积5169.21㎡：零售</w:t>
      </w:r>
      <w:r>
        <w:rPr>
          <w:rFonts w:hint="eastAsia" w:ascii="仿宋_GB2312" w:hAnsi="仿宋_GB2312" w:eastAsia="仿宋_GB2312" w:cs="仿宋_GB2312"/>
          <w:color w:val="auto"/>
          <w:spacing w:val="13"/>
          <w:sz w:val="24"/>
          <w:szCs w:val="24"/>
          <w:highlight w:val="none"/>
          <w:lang w:eastAsia="zh-CN"/>
        </w:rPr>
        <w:t>（</w:t>
      </w:r>
      <w:r>
        <w:rPr>
          <w:rFonts w:hint="eastAsia" w:ascii="仿宋_GB2312" w:hAnsi="仿宋_GB2312" w:eastAsia="仿宋_GB2312" w:cs="仿宋_GB2312"/>
          <w:color w:val="auto"/>
          <w:spacing w:val="13"/>
          <w:sz w:val="24"/>
          <w:szCs w:val="24"/>
          <w:highlight w:val="none"/>
          <w:lang w:val="en-US" w:eastAsia="zh-CN"/>
        </w:rPr>
        <w:t>该标的零售业态为生鲜超市，零售及综合服务业态需</w:t>
      </w:r>
      <w:r>
        <w:rPr>
          <w:rFonts w:hint="eastAsia" w:ascii="仿宋_GB2312" w:hAnsi="仿宋_GB2312" w:eastAsia="仿宋_GB2312" w:cs="仿宋_GB2312"/>
          <w:color w:val="auto"/>
          <w:spacing w:val="13"/>
          <w:sz w:val="24"/>
          <w:szCs w:val="24"/>
          <w:highlight w:val="none"/>
          <w:lang w:eastAsia="zh-CN"/>
        </w:rPr>
        <w:t>符合国家法律法规规定的行业；完全符合消防、环保等相关法律法规要求的行业；不会产生噪音扰民的行业；不得从事废品回收行业、活禽贮存及宰杀相关业务）；</w:t>
      </w:r>
    </w:p>
    <w:p w14:paraId="32A7D495">
      <w:pPr>
        <w:kinsoku/>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val="en-US" w:eastAsia="zh-CN"/>
        </w:rPr>
        <w:t>2.孚莲一里783号1层面积4772.01㎡：综合服务</w:t>
      </w:r>
      <w:r>
        <w:rPr>
          <w:rFonts w:hint="eastAsia" w:ascii="仿宋_GB2312" w:hAnsi="仿宋_GB2312" w:eastAsia="仿宋_GB2312" w:cs="仿宋_GB2312"/>
          <w:color w:val="auto"/>
          <w:spacing w:val="13"/>
          <w:sz w:val="24"/>
          <w:szCs w:val="24"/>
          <w:highlight w:val="none"/>
          <w:lang w:eastAsia="zh-CN"/>
        </w:rPr>
        <w:t>（符合国家法律法规规定的行业；完全符合消防、环保等相关法律法规要求的行业；不会产生噪音扰民的行业；不得从事废品回收行业、活禽贮存及宰杀相关业务）；</w:t>
      </w:r>
    </w:p>
    <w:p w14:paraId="385EA65F">
      <w:pPr>
        <w:kinsoku/>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val="en-US" w:eastAsia="zh-CN"/>
        </w:rPr>
        <w:t>3.孚莲一里783号2层面积4926.85㎡：综合服务</w:t>
      </w:r>
      <w:r>
        <w:rPr>
          <w:rFonts w:hint="eastAsia" w:ascii="仿宋_GB2312" w:hAnsi="仿宋_GB2312" w:eastAsia="仿宋_GB2312" w:cs="仿宋_GB2312"/>
          <w:color w:val="auto"/>
          <w:spacing w:val="13"/>
          <w:sz w:val="24"/>
          <w:szCs w:val="24"/>
          <w:highlight w:val="none"/>
          <w:lang w:eastAsia="zh-CN"/>
        </w:rPr>
        <w:t>（符合国家法律法规规定的行业；完全符合消防、环保等相关法律法规要求的行业；不会产生噪音扰民的行业；不得从事废品回收行业、活禽贮存及宰杀相关业务）；</w:t>
      </w:r>
    </w:p>
    <w:p w14:paraId="0F20F59A">
      <w:pPr>
        <w:kinsoku/>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val="en-US" w:eastAsia="zh-CN"/>
        </w:rPr>
        <w:t>4.孚莲一里783号3层面积4873.23㎡，综合服务</w:t>
      </w:r>
      <w:r>
        <w:rPr>
          <w:rFonts w:hint="eastAsia" w:ascii="仿宋_GB2312" w:hAnsi="仿宋_GB2312" w:eastAsia="仿宋_GB2312" w:cs="仿宋_GB2312"/>
          <w:color w:val="auto"/>
          <w:spacing w:val="13"/>
          <w:sz w:val="24"/>
          <w:szCs w:val="24"/>
          <w:highlight w:val="none"/>
          <w:lang w:eastAsia="zh-CN"/>
        </w:rPr>
        <w:t>（</w:t>
      </w:r>
      <w:r>
        <w:rPr>
          <w:rFonts w:hint="eastAsia" w:ascii="仿宋_GB2312" w:hAnsi="仿宋_GB2312" w:eastAsia="仿宋_GB2312" w:cs="仿宋_GB2312"/>
          <w:color w:val="auto"/>
          <w:spacing w:val="13"/>
          <w:sz w:val="24"/>
          <w:szCs w:val="24"/>
          <w:highlight w:val="none"/>
          <w:lang w:val="en-US" w:eastAsia="zh-CN"/>
        </w:rPr>
        <w:t>该标的综合服务为康养，医美业态，需</w:t>
      </w:r>
      <w:r>
        <w:rPr>
          <w:rFonts w:hint="eastAsia" w:ascii="仿宋_GB2312" w:hAnsi="仿宋_GB2312" w:eastAsia="仿宋_GB2312" w:cs="仿宋_GB2312"/>
          <w:color w:val="auto"/>
          <w:spacing w:val="13"/>
          <w:sz w:val="24"/>
          <w:szCs w:val="24"/>
          <w:highlight w:val="none"/>
          <w:lang w:eastAsia="zh-CN"/>
        </w:rPr>
        <w:t>符合国家法律法规规定的行业；完全符合消防、环保等相关法律法规要求的行业；不会产生噪音扰民的行业；不得从事废品回收行业、活禽贮存及宰杀相关业务）；</w:t>
      </w:r>
    </w:p>
    <w:p w14:paraId="413A9C1A">
      <w:pPr>
        <w:kinsoku/>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val="en-US" w:eastAsia="zh-CN"/>
        </w:rPr>
        <w:t>5.孚莲一里783号4层面积5687.36㎡，综合服务</w:t>
      </w:r>
      <w:r>
        <w:rPr>
          <w:rFonts w:hint="eastAsia" w:ascii="仿宋_GB2312" w:hAnsi="仿宋_GB2312" w:eastAsia="仿宋_GB2312" w:cs="仿宋_GB2312"/>
          <w:color w:val="auto"/>
          <w:spacing w:val="13"/>
          <w:sz w:val="24"/>
          <w:szCs w:val="24"/>
          <w:highlight w:val="none"/>
          <w:lang w:eastAsia="zh-CN"/>
        </w:rPr>
        <w:t>（</w:t>
      </w:r>
      <w:r>
        <w:rPr>
          <w:rFonts w:hint="eastAsia" w:ascii="仿宋_GB2312" w:hAnsi="仿宋_GB2312" w:eastAsia="仿宋_GB2312" w:cs="仿宋_GB2312"/>
          <w:color w:val="auto"/>
          <w:spacing w:val="13"/>
          <w:sz w:val="24"/>
          <w:szCs w:val="24"/>
          <w:highlight w:val="none"/>
          <w:lang w:val="en-US" w:eastAsia="zh-CN"/>
        </w:rPr>
        <w:t>该标的综合服务为体育运动类业态，需</w:t>
      </w:r>
      <w:r>
        <w:rPr>
          <w:rFonts w:hint="eastAsia" w:ascii="仿宋_GB2312" w:hAnsi="仿宋_GB2312" w:eastAsia="仿宋_GB2312" w:cs="仿宋_GB2312"/>
          <w:color w:val="auto"/>
          <w:spacing w:val="13"/>
          <w:sz w:val="24"/>
          <w:szCs w:val="24"/>
          <w:highlight w:val="none"/>
          <w:lang w:eastAsia="zh-CN"/>
        </w:rPr>
        <w:t>符合国家法律法规规定的行业；完全符合消防、环保等相关法律法规要求的行业；不会产生噪音扰民的行业；不得从事废品回收行业、活禽贮存及宰杀相关业务）。</w:t>
      </w:r>
    </w:p>
    <w:p w14:paraId="008373E8">
      <w:pPr>
        <w:kinsoku/>
        <w:autoSpaceDE/>
        <w:autoSpaceDN/>
        <w:spacing w:line="440" w:lineRule="exact"/>
        <w:ind w:left="0" w:leftChars="0" w:right="0" w:rightChars="0" w:firstLine="48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1"/>
          <w:sz w:val="24"/>
          <w:szCs w:val="24"/>
          <w:highlight w:val="none"/>
          <w:lang w:eastAsia="zh-CN"/>
        </w:rPr>
        <w:t>竞价申请：</w:t>
      </w:r>
    </w:p>
    <w:p w14:paraId="4E023252">
      <w:pPr>
        <w:pStyle w:val="3"/>
        <w:kinsoku/>
        <w:autoSpaceDE/>
        <w:autoSpaceDN/>
        <w:spacing w:before="0" w:line="440" w:lineRule="exact"/>
        <w:ind w:left="0" w:leftChars="0" w:right="0" w:rightChars="0" w:firstLine="504" w:firstLineChars="200"/>
        <w:jc w:val="both"/>
        <w:rPr>
          <w:rFonts w:hint="eastAsia" w:ascii="仿宋_GB2312" w:hAnsi="仿宋_GB2312" w:eastAsia="仿宋_GB2312" w:cs="仿宋_GB2312"/>
          <w:color w:val="auto"/>
          <w:spacing w:val="6"/>
          <w:sz w:val="24"/>
          <w:szCs w:val="24"/>
          <w:highlight w:val="none"/>
          <w:lang w:eastAsia="zh-CN"/>
        </w:rPr>
      </w:pPr>
      <w:r>
        <w:rPr>
          <w:rFonts w:hint="eastAsia" w:ascii="仿宋_GB2312" w:hAnsi="仿宋_GB2312" w:eastAsia="仿宋_GB2312" w:cs="仿宋_GB2312"/>
          <w:color w:val="auto"/>
          <w:spacing w:val="6"/>
          <w:sz w:val="24"/>
          <w:szCs w:val="24"/>
          <w:highlight w:val="none"/>
          <w:lang w:eastAsia="zh-CN"/>
        </w:rPr>
        <w:t>（一）交易系统登录方式：安装并打开助盾安全客户端，用证书登录后请使用主流浏览器（谷歌浏览器、360浏览器、Microsoft Edge、火狐浏览器）输入资产资源交易系统(</w:t>
      </w:r>
      <w:r>
        <w:rPr>
          <w:rFonts w:hint="eastAsia" w:ascii="仿宋_GB2312" w:hAnsi="仿宋_GB2312" w:eastAsia="仿宋_GB2312" w:cs="仿宋_GB2312"/>
          <w:color w:val="auto"/>
          <w:sz w:val="24"/>
          <w:szCs w:val="24"/>
          <w:highlight w:val="none"/>
        </w:rPr>
        <w:fldChar w:fldCharType="begin"/>
      </w:r>
      <w:r>
        <w:rPr>
          <w:rFonts w:hint="eastAsia" w:ascii="仿宋_GB2312" w:hAnsi="仿宋_GB2312" w:eastAsia="仿宋_GB2312" w:cs="仿宋_GB2312"/>
          <w:color w:val="auto"/>
          <w:sz w:val="24"/>
          <w:szCs w:val="24"/>
          <w:highlight w:val="none"/>
        </w:rPr>
        <w:instrText xml:space="preserve"> HYPERLINK "http://120.41.41.16:9101" </w:instrText>
      </w:r>
      <w:r>
        <w:rPr>
          <w:rFonts w:hint="eastAsia" w:ascii="仿宋_GB2312" w:hAnsi="仿宋_GB2312" w:eastAsia="仿宋_GB2312" w:cs="仿宋_GB2312"/>
          <w:color w:val="auto"/>
          <w:sz w:val="24"/>
          <w:szCs w:val="24"/>
          <w:highlight w:val="none"/>
        </w:rPr>
        <w:fldChar w:fldCharType="separate"/>
      </w:r>
      <w:r>
        <w:rPr>
          <w:rFonts w:hint="eastAsia" w:ascii="仿宋_GB2312" w:hAnsi="仿宋_GB2312" w:eastAsia="仿宋_GB2312" w:cs="仿宋_GB2312"/>
          <w:color w:val="auto"/>
          <w:spacing w:val="6"/>
          <w:sz w:val="24"/>
          <w:szCs w:val="24"/>
          <w:highlight w:val="none"/>
          <w:lang w:eastAsia="zh-CN"/>
        </w:rPr>
        <w:t>http://120.41.41.16:9101</w:t>
      </w:r>
      <w:r>
        <w:rPr>
          <w:rFonts w:hint="eastAsia" w:ascii="仿宋_GB2312" w:hAnsi="仿宋_GB2312" w:eastAsia="仿宋_GB2312" w:cs="仿宋_GB2312"/>
          <w:color w:val="auto"/>
          <w:spacing w:val="6"/>
          <w:sz w:val="24"/>
          <w:szCs w:val="24"/>
          <w:highlight w:val="none"/>
          <w:lang w:eastAsia="zh-CN"/>
        </w:rPr>
        <w:fldChar w:fldCharType="end"/>
      </w:r>
      <w:r>
        <w:rPr>
          <w:rFonts w:hint="eastAsia" w:ascii="仿宋_GB2312" w:hAnsi="仿宋_GB2312" w:eastAsia="仿宋_GB2312" w:cs="仿宋_GB2312"/>
          <w:color w:val="auto"/>
          <w:spacing w:val="6"/>
          <w:sz w:val="24"/>
          <w:szCs w:val="24"/>
          <w:highlight w:val="none"/>
          <w:lang w:eastAsia="zh-CN"/>
        </w:rPr>
        <w:t>)，打开网页后，点击“CA证书登录”登录系统，按照竞价人操作手册进行相关操作。</w:t>
      </w:r>
    </w:p>
    <w:p w14:paraId="45513F9E">
      <w:pPr>
        <w:pStyle w:val="3"/>
        <w:kinsoku/>
        <w:autoSpaceDE/>
        <w:autoSpaceDN/>
        <w:spacing w:before="0" w:line="440" w:lineRule="exact"/>
        <w:ind w:left="0" w:leftChars="0" w:right="0" w:rightChars="0" w:firstLine="528" w:firstLineChars="200"/>
        <w:jc w:val="both"/>
        <w:rPr>
          <w:rFonts w:hint="eastAsia" w:ascii="仿宋_GB2312" w:hAnsi="仿宋_GB2312" w:eastAsia="仿宋_GB2312" w:cs="仿宋_GB2312"/>
          <w:color w:val="auto"/>
          <w:spacing w:val="4"/>
          <w:sz w:val="24"/>
          <w:szCs w:val="24"/>
          <w:highlight w:val="none"/>
        </w:rPr>
      </w:pPr>
      <w:r>
        <w:rPr>
          <w:rFonts w:hint="eastAsia" w:ascii="仿宋_GB2312" w:hAnsi="仿宋_GB2312" w:eastAsia="仿宋_GB2312" w:cs="仿宋_GB2312"/>
          <w:color w:val="auto"/>
          <w:spacing w:val="12"/>
          <w:sz w:val="24"/>
          <w:szCs w:val="24"/>
          <w:highlight w:val="none"/>
        </w:rPr>
        <w:t>登录入口：厦门市公共资源交易网(</w:t>
      </w:r>
      <w:r>
        <w:rPr>
          <w:rFonts w:hint="eastAsia" w:ascii="仿宋_GB2312" w:hAnsi="仿宋_GB2312" w:eastAsia="仿宋_GB2312" w:cs="仿宋_GB2312"/>
          <w:color w:val="auto"/>
          <w:sz w:val="24"/>
          <w:szCs w:val="24"/>
          <w:highlight w:val="none"/>
        </w:rPr>
        <w:fldChar w:fldCharType="begin"/>
      </w:r>
      <w:r>
        <w:rPr>
          <w:rFonts w:hint="eastAsia" w:ascii="仿宋_GB2312" w:hAnsi="仿宋_GB2312" w:eastAsia="仿宋_GB2312" w:cs="仿宋_GB2312"/>
          <w:color w:val="auto"/>
          <w:sz w:val="24"/>
          <w:szCs w:val="24"/>
          <w:highlight w:val="none"/>
        </w:rPr>
        <w:instrText xml:space="preserve"> HYPERLINK "https://zyjy.as.xm.gov.cn/" </w:instrText>
      </w:r>
      <w:r>
        <w:rPr>
          <w:rFonts w:hint="eastAsia" w:ascii="仿宋_GB2312" w:hAnsi="仿宋_GB2312" w:eastAsia="仿宋_GB2312" w:cs="仿宋_GB2312"/>
          <w:color w:val="auto"/>
          <w:sz w:val="24"/>
          <w:szCs w:val="24"/>
          <w:highlight w:val="none"/>
        </w:rPr>
        <w:fldChar w:fldCharType="separate"/>
      </w:r>
      <w:r>
        <w:rPr>
          <w:rFonts w:hint="eastAsia" w:ascii="仿宋_GB2312" w:hAnsi="仿宋_GB2312" w:eastAsia="仿宋_GB2312" w:cs="仿宋_GB2312"/>
          <w:color w:val="auto"/>
          <w:sz w:val="24"/>
          <w:szCs w:val="24"/>
          <w:highlight w:val="none"/>
        </w:rPr>
        <w:t>https</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z w:val="24"/>
          <w:szCs w:val="24"/>
          <w:highlight w:val="none"/>
        </w:rPr>
        <w:t>zyjy</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z w:val="24"/>
          <w:szCs w:val="24"/>
          <w:highlight w:val="none"/>
        </w:rPr>
        <w:t>as</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z w:val="24"/>
          <w:szCs w:val="24"/>
          <w:highlight w:val="none"/>
        </w:rPr>
        <w:t>xm</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z w:val="24"/>
          <w:szCs w:val="24"/>
          <w:highlight w:val="none"/>
        </w:rPr>
        <w:t>gov</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z w:val="24"/>
          <w:szCs w:val="24"/>
          <w:highlight w:val="none"/>
        </w:rPr>
        <w:t>cn</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pacing w:val="12"/>
          <w:sz w:val="24"/>
          <w:szCs w:val="24"/>
          <w:highlight w:val="none"/>
        </w:rPr>
        <w:fldChar w:fldCharType="end"/>
      </w:r>
      <w:r>
        <w:rPr>
          <w:rFonts w:hint="eastAsia" w:ascii="仿宋_GB2312" w:hAnsi="仿宋_GB2312" w:eastAsia="仿宋_GB2312" w:cs="仿宋_GB2312"/>
          <w:color w:val="auto"/>
          <w:spacing w:val="12"/>
          <w:sz w:val="24"/>
          <w:szCs w:val="24"/>
          <w:highlight w:val="none"/>
        </w:rPr>
        <w:t>)首页-交易信息-行政事业资产资源</w:t>
      </w:r>
      <w:r>
        <w:rPr>
          <w:rFonts w:hint="eastAsia" w:ascii="仿宋_GB2312" w:hAnsi="仿宋_GB2312" w:eastAsia="仿宋_GB2312" w:cs="仿宋_GB2312"/>
          <w:color w:val="auto"/>
          <w:spacing w:val="4"/>
          <w:sz w:val="24"/>
          <w:szCs w:val="24"/>
          <w:highlight w:val="none"/>
        </w:rPr>
        <w:t>交易栏目下方：厦门市资产资源交易系统入口。</w:t>
      </w:r>
    </w:p>
    <w:p w14:paraId="59026ECF">
      <w:pPr>
        <w:pStyle w:val="3"/>
        <w:kinsoku/>
        <w:autoSpaceDE/>
        <w:autoSpaceDN/>
        <w:spacing w:before="0" w:line="440" w:lineRule="exact"/>
        <w:ind w:left="0" w:leftChars="0" w:right="0" w:rightChars="0" w:firstLine="50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6"/>
          <w:sz w:val="24"/>
          <w:szCs w:val="24"/>
          <w:highlight w:val="none"/>
          <w:lang w:eastAsia="zh-CN"/>
        </w:rPr>
        <w:t>(二)竞价人申请报名前3个工作日内须完成企业</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6"/>
          <w:sz w:val="24"/>
          <w:szCs w:val="24"/>
          <w:highlight w:val="none"/>
          <w:lang w:eastAsia="zh-CN"/>
        </w:rPr>
        <w:t>数字证书(介质证书)或个人标识证</w:t>
      </w:r>
      <w:r>
        <w:rPr>
          <w:rFonts w:hint="eastAsia" w:ascii="仿宋_GB2312" w:hAnsi="仿宋_GB2312" w:eastAsia="仿宋_GB2312" w:cs="仿宋_GB2312"/>
          <w:color w:val="auto"/>
          <w:spacing w:val="5"/>
          <w:sz w:val="24"/>
          <w:szCs w:val="24"/>
          <w:highlight w:val="none"/>
          <w:lang w:eastAsia="zh-CN"/>
        </w:rPr>
        <w:t>书(软证书)的办理。</w:t>
      </w:r>
      <w:r>
        <w:rPr>
          <w:rFonts w:hint="eastAsia" w:ascii="仿宋_GB2312" w:hAnsi="仿宋_GB2312" w:eastAsia="仿宋_GB2312" w:cs="仿宋_GB2312"/>
          <w:color w:val="auto"/>
          <w:spacing w:val="12"/>
          <w:sz w:val="24"/>
          <w:szCs w:val="24"/>
          <w:highlight w:val="none"/>
          <w:lang w:eastAsia="zh-CN"/>
        </w:rPr>
        <w:t>使用已持有省统一</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12"/>
          <w:sz w:val="24"/>
          <w:szCs w:val="24"/>
          <w:highlight w:val="none"/>
          <w:lang w:eastAsia="zh-CN"/>
        </w:rPr>
        <w:t>数字证书、福建政府采购专用</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12"/>
          <w:sz w:val="24"/>
          <w:szCs w:val="24"/>
          <w:highlight w:val="none"/>
          <w:lang w:eastAsia="zh-CN"/>
        </w:rPr>
        <w:t>数字证书的竞价人，首次登录须在福建省公共资源交</w:t>
      </w:r>
      <w:r>
        <w:rPr>
          <w:rFonts w:hint="eastAsia" w:ascii="仿宋_GB2312" w:hAnsi="仿宋_GB2312" w:eastAsia="仿宋_GB2312" w:cs="仿宋_GB2312"/>
          <w:color w:val="auto"/>
          <w:spacing w:val="11"/>
          <w:sz w:val="24"/>
          <w:szCs w:val="24"/>
          <w:highlight w:val="none"/>
          <w:lang w:eastAsia="zh-CN"/>
        </w:rPr>
        <w:t>易电子公共服务平台下的“公共资源交易</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11"/>
          <w:sz w:val="24"/>
          <w:szCs w:val="24"/>
          <w:highlight w:val="none"/>
          <w:lang w:eastAsia="zh-CN"/>
        </w:rPr>
        <w:t>互认(投标单位省统一登录)”进行注册，账户注册后，可通过</w:t>
      </w:r>
      <w:r>
        <w:rPr>
          <w:rFonts w:hint="eastAsia" w:ascii="仿宋_GB2312" w:hAnsi="仿宋_GB2312" w:eastAsia="仿宋_GB2312" w:cs="仿宋_GB2312"/>
          <w:color w:val="auto"/>
          <w:spacing w:val="7"/>
          <w:sz w:val="24"/>
          <w:szCs w:val="24"/>
          <w:highlight w:val="none"/>
          <w:lang w:eastAsia="zh-CN"/>
        </w:rPr>
        <w:t>“厦门市资产资源交易系统”登录页面-“省统一登录”进行登录操作，无需另行办理</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7"/>
          <w:sz w:val="24"/>
          <w:szCs w:val="24"/>
          <w:highlight w:val="none"/>
          <w:lang w:eastAsia="zh-CN"/>
        </w:rPr>
        <w:t>数字证书。自然人</w:t>
      </w:r>
      <w:r>
        <w:rPr>
          <w:rFonts w:hint="eastAsia" w:ascii="仿宋_GB2312" w:hAnsi="仿宋_GB2312" w:eastAsia="仿宋_GB2312" w:cs="仿宋_GB2312"/>
          <w:color w:val="auto"/>
          <w:spacing w:val="14"/>
          <w:sz w:val="24"/>
          <w:szCs w:val="24"/>
          <w:highlight w:val="none"/>
          <w:lang w:eastAsia="zh-CN"/>
        </w:rPr>
        <w:t>可通过可信身份认证管理平台(</w:t>
      </w:r>
      <w:r>
        <w:rPr>
          <w:rFonts w:hint="eastAsia" w:ascii="仿宋_GB2312" w:hAnsi="仿宋_GB2312" w:eastAsia="仿宋_GB2312" w:cs="仿宋_GB2312"/>
          <w:color w:val="auto"/>
          <w:sz w:val="24"/>
          <w:szCs w:val="24"/>
          <w:highlight w:val="none"/>
        </w:rPr>
        <w:fldChar w:fldCharType="begin"/>
      </w:r>
      <w:r>
        <w:rPr>
          <w:rFonts w:hint="eastAsia" w:ascii="仿宋_GB2312" w:hAnsi="仿宋_GB2312" w:eastAsia="仿宋_GB2312" w:cs="仿宋_GB2312"/>
          <w:color w:val="auto"/>
          <w:sz w:val="24"/>
          <w:szCs w:val="24"/>
          <w:highlight w:val="none"/>
        </w:rPr>
        <w:instrText xml:space="preserve"> HYPERLINK "http://ra.jdsafe.com/web/#/index" </w:instrText>
      </w:r>
      <w:r>
        <w:rPr>
          <w:rFonts w:hint="eastAsia" w:ascii="仿宋_GB2312" w:hAnsi="仿宋_GB2312" w:eastAsia="仿宋_GB2312" w:cs="仿宋_GB2312"/>
          <w:color w:val="auto"/>
          <w:sz w:val="24"/>
          <w:szCs w:val="24"/>
          <w:highlight w:val="none"/>
        </w:rPr>
        <w:fldChar w:fldCharType="separate"/>
      </w:r>
      <w:r>
        <w:rPr>
          <w:rFonts w:hint="eastAsia" w:ascii="仿宋_GB2312" w:hAnsi="仿宋_GB2312" w:eastAsia="仿宋_GB2312" w:cs="仿宋_GB2312"/>
          <w:color w:val="auto"/>
          <w:sz w:val="24"/>
          <w:szCs w:val="24"/>
          <w:highlight w:val="none"/>
          <w:lang w:eastAsia="zh-CN"/>
        </w:rPr>
        <w:t>http</w:t>
      </w:r>
      <w:r>
        <w:rPr>
          <w:rFonts w:hint="eastAsia" w:ascii="仿宋_GB2312" w:hAnsi="仿宋_GB2312" w:eastAsia="仿宋_GB2312" w:cs="仿宋_GB2312"/>
          <w:color w:val="auto"/>
          <w:spacing w:val="14"/>
          <w:sz w:val="24"/>
          <w:szCs w:val="24"/>
          <w:highlight w:val="none"/>
          <w:lang w:eastAsia="zh-CN"/>
        </w:rPr>
        <w:t>://</w:t>
      </w:r>
      <w:r>
        <w:rPr>
          <w:rFonts w:hint="eastAsia" w:ascii="仿宋_GB2312" w:hAnsi="仿宋_GB2312" w:eastAsia="仿宋_GB2312" w:cs="仿宋_GB2312"/>
          <w:color w:val="auto"/>
          <w:sz w:val="24"/>
          <w:szCs w:val="24"/>
          <w:highlight w:val="none"/>
          <w:lang w:eastAsia="zh-CN"/>
        </w:rPr>
        <w:t>ra</w:t>
      </w:r>
      <w:r>
        <w:rPr>
          <w:rFonts w:hint="eastAsia" w:ascii="仿宋_GB2312" w:hAnsi="仿宋_GB2312" w:eastAsia="仿宋_GB2312" w:cs="仿宋_GB2312"/>
          <w:color w:val="auto"/>
          <w:spacing w:val="14"/>
          <w:sz w:val="24"/>
          <w:szCs w:val="24"/>
          <w:highlight w:val="none"/>
          <w:lang w:eastAsia="zh-CN"/>
        </w:rPr>
        <w:t>.</w:t>
      </w:r>
      <w:r>
        <w:rPr>
          <w:rFonts w:hint="eastAsia" w:ascii="仿宋_GB2312" w:hAnsi="仿宋_GB2312" w:eastAsia="仿宋_GB2312" w:cs="仿宋_GB2312"/>
          <w:color w:val="auto"/>
          <w:sz w:val="24"/>
          <w:szCs w:val="24"/>
          <w:highlight w:val="none"/>
          <w:lang w:eastAsia="zh-CN"/>
        </w:rPr>
        <w:t>jdsafe</w:t>
      </w:r>
      <w:r>
        <w:rPr>
          <w:rFonts w:hint="eastAsia" w:ascii="仿宋_GB2312" w:hAnsi="仿宋_GB2312" w:eastAsia="仿宋_GB2312" w:cs="仿宋_GB2312"/>
          <w:color w:val="auto"/>
          <w:spacing w:val="14"/>
          <w:sz w:val="24"/>
          <w:szCs w:val="24"/>
          <w:highlight w:val="none"/>
          <w:lang w:eastAsia="zh-CN"/>
        </w:rPr>
        <w:t>.</w:t>
      </w:r>
      <w:r>
        <w:rPr>
          <w:rFonts w:hint="eastAsia" w:ascii="仿宋_GB2312" w:hAnsi="仿宋_GB2312" w:eastAsia="仿宋_GB2312" w:cs="仿宋_GB2312"/>
          <w:color w:val="auto"/>
          <w:sz w:val="24"/>
          <w:szCs w:val="24"/>
          <w:highlight w:val="none"/>
          <w:lang w:eastAsia="zh-CN"/>
        </w:rPr>
        <w:t>com</w:t>
      </w:r>
      <w:r>
        <w:rPr>
          <w:rFonts w:hint="eastAsia" w:ascii="仿宋_GB2312" w:hAnsi="仿宋_GB2312" w:eastAsia="仿宋_GB2312" w:cs="仿宋_GB2312"/>
          <w:color w:val="auto"/>
          <w:spacing w:val="14"/>
          <w:sz w:val="24"/>
          <w:szCs w:val="24"/>
          <w:highlight w:val="none"/>
          <w:lang w:eastAsia="zh-CN"/>
        </w:rPr>
        <w:t>/</w:t>
      </w:r>
      <w:r>
        <w:rPr>
          <w:rFonts w:hint="eastAsia" w:ascii="仿宋_GB2312" w:hAnsi="仿宋_GB2312" w:eastAsia="仿宋_GB2312" w:cs="仿宋_GB2312"/>
          <w:color w:val="auto"/>
          <w:sz w:val="24"/>
          <w:szCs w:val="24"/>
          <w:highlight w:val="none"/>
          <w:lang w:eastAsia="zh-CN"/>
        </w:rPr>
        <w:t>web</w:t>
      </w:r>
      <w:r>
        <w:rPr>
          <w:rFonts w:hint="eastAsia" w:ascii="仿宋_GB2312" w:hAnsi="仿宋_GB2312" w:eastAsia="仿宋_GB2312" w:cs="仿宋_GB2312"/>
          <w:color w:val="auto"/>
          <w:spacing w:val="14"/>
          <w:sz w:val="24"/>
          <w:szCs w:val="24"/>
          <w:highlight w:val="none"/>
          <w:lang w:eastAsia="zh-CN"/>
        </w:rPr>
        <w:t>/</w:t>
      </w:r>
      <w:r>
        <w:rPr>
          <w:rFonts w:hint="eastAsia" w:ascii="仿宋_GB2312" w:hAnsi="仿宋_GB2312" w:eastAsia="仿宋_GB2312" w:cs="仿宋_GB2312"/>
          <w:color w:val="auto"/>
          <w:spacing w:val="13"/>
          <w:sz w:val="24"/>
          <w:szCs w:val="24"/>
          <w:highlight w:val="none"/>
          <w:lang w:eastAsia="zh-CN"/>
        </w:rPr>
        <w:t>#/</w:t>
      </w:r>
      <w:r>
        <w:rPr>
          <w:rFonts w:hint="eastAsia" w:ascii="仿宋_GB2312" w:hAnsi="仿宋_GB2312" w:eastAsia="仿宋_GB2312" w:cs="仿宋_GB2312"/>
          <w:color w:val="auto"/>
          <w:sz w:val="24"/>
          <w:szCs w:val="24"/>
          <w:highlight w:val="none"/>
          <w:lang w:eastAsia="zh-CN"/>
        </w:rPr>
        <w:t>index</w:t>
      </w:r>
      <w:r>
        <w:rPr>
          <w:rFonts w:hint="eastAsia" w:ascii="仿宋_GB2312" w:hAnsi="仿宋_GB2312" w:eastAsia="仿宋_GB2312" w:cs="仿宋_GB2312"/>
          <w:color w:val="auto"/>
          <w:sz w:val="24"/>
          <w:szCs w:val="24"/>
          <w:highlight w:val="none"/>
          <w:lang w:eastAsia="zh-CN"/>
        </w:rPr>
        <w:fldChar w:fldCharType="end"/>
      </w:r>
      <w:r>
        <w:rPr>
          <w:rFonts w:hint="eastAsia" w:ascii="仿宋_GB2312" w:hAnsi="仿宋_GB2312" w:eastAsia="仿宋_GB2312" w:cs="仿宋_GB2312"/>
          <w:color w:val="auto"/>
          <w:spacing w:val="13"/>
          <w:sz w:val="24"/>
          <w:szCs w:val="24"/>
          <w:highlight w:val="none"/>
          <w:lang w:eastAsia="zh-CN"/>
        </w:rPr>
        <w:t>)免费办理个人标识证书，具体操作步</w:t>
      </w:r>
      <w:r>
        <w:rPr>
          <w:rFonts w:hint="eastAsia" w:ascii="仿宋_GB2312" w:hAnsi="仿宋_GB2312" w:eastAsia="仿宋_GB2312" w:cs="仿宋_GB2312"/>
          <w:color w:val="auto"/>
          <w:spacing w:val="10"/>
          <w:sz w:val="24"/>
          <w:szCs w:val="24"/>
          <w:highlight w:val="none"/>
          <w:lang w:eastAsia="zh-CN"/>
        </w:rPr>
        <w:t>骤详见厦门市公共资源交易网(</w:t>
      </w:r>
      <w:r>
        <w:rPr>
          <w:rFonts w:hint="eastAsia" w:ascii="仿宋_GB2312" w:hAnsi="仿宋_GB2312" w:eastAsia="仿宋_GB2312" w:cs="仿宋_GB2312"/>
          <w:color w:val="auto"/>
          <w:sz w:val="24"/>
          <w:szCs w:val="24"/>
          <w:highlight w:val="none"/>
        </w:rPr>
        <w:fldChar w:fldCharType="begin"/>
      </w:r>
      <w:r>
        <w:rPr>
          <w:rFonts w:hint="eastAsia" w:ascii="仿宋_GB2312" w:hAnsi="仿宋_GB2312" w:eastAsia="仿宋_GB2312" w:cs="仿宋_GB2312"/>
          <w:color w:val="auto"/>
          <w:sz w:val="24"/>
          <w:szCs w:val="24"/>
          <w:highlight w:val="none"/>
        </w:rPr>
        <w:instrText xml:space="preserve"> HYPERLINK "https://zyjy.as.xm.gov.cn/" </w:instrText>
      </w:r>
      <w:r>
        <w:rPr>
          <w:rFonts w:hint="eastAsia" w:ascii="仿宋_GB2312" w:hAnsi="仿宋_GB2312" w:eastAsia="仿宋_GB2312" w:cs="仿宋_GB2312"/>
          <w:color w:val="auto"/>
          <w:sz w:val="24"/>
          <w:szCs w:val="24"/>
          <w:highlight w:val="none"/>
        </w:rPr>
        <w:fldChar w:fldCharType="separate"/>
      </w:r>
      <w:r>
        <w:rPr>
          <w:rFonts w:hint="eastAsia" w:ascii="仿宋_GB2312" w:hAnsi="仿宋_GB2312" w:eastAsia="仿宋_GB2312" w:cs="仿宋_GB2312"/>
          <w:color w:val="auto"/>
          <w:sz w:val="24"/>
          <w:szCs w:val="24"/>
          <w:highlight w:val="none"/>
          <w:lang w:eastAsia="zh-CN"/>
        </w:rPr>
        <w:t>https</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z w:val="24"/>
          <w:szCs w:val="24"/>
          <w:highlight w:val="none"/>
          <w:lang w:eastAsia="zh-CN"/>
        </w:rPr>
        <w:t>zyjy</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z w:val="24"/>
          <w:szCs w:val="24"/>
          <w:highlight w:val="none"/>
          <w:lang w:eastAsia="zh-CN"/>
        </w:rPr>
        <w:t>as</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z w:val="24"/>
          <w:szCs w:val="24"/>
          <w:highlight w:val="none"/>
          <w:lang w:eastAsia="zh-CN"/>
        </w:rPr>
        <w:t>xm</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z w:val="24"/>
          <w:szCs w:val="24"/>
          <w:highlight w:val="none"/>
          <w:lang w:eastAsia="zh-CN"/>
        </w:rPr>
        <w:t>gov</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z w:val="24"/>
          <w:szCs w:val="24"/>
          <w:highlight w:val="none"/>
          <w:lang w:eastAsia="zh-CN"/>
        </w:rPr>
        <w:t>cn</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pacing w:val="10"/>
          <w:sz w:val="24"/>
          <w:szCs w:val="24"/>
          <w:highlight w:val="none"/>
          <w:lang w:eastAsia="zh-CN"/>
        </w:rPr>
        <w:fldChar w:fldCharType="end"/>
      </w:r>
      <w:r>
        <w:rPr>
          <w:rFonts w:hint="eastAsia" w:ascii="仿宋_GB2312" w:hAnsi="仿宋_GB2312" w:eastAsia="仿宋_GB2312" w:cs="仿宋_GB2312"/>
          <w:color w:val="auto"/>
          <w:spacing w:val="10"/>
          <w:sz w:val="24"/>
          <w:szCs w:val="24"/>
          <w:highlight w:val="none"/>
          <w:lang w:eastAsia="zh-CN"/>
        </w:rPr>
        <w:t>)首页-通知动态-重要通知-“厦门市公共资源</w:t>
      </w:r>
      <w:r>
        <w:rPr>
          <w:rFonts w:hint="eastAsia" w:ascii="仿宋_GB2312" w:hAnsi="仿宋_GB2312" w:eastAsia="仿宋_GB2312" w:cs="仿宋_GB2312"/>
          <w:color w:val="auto"/>
          <w:spacing w:val="6"/>
          <w:sz w:val="24"/>
          <w:szCs w:val="24"/>
          <w:highlight w:val="none"/>
          <w:lang w:eastAsia="zh-CN"/>
        </w:rPr>
        <w:t>交易中心关于厦门市资产资源交易系统上线试运行的通知”附件《个人标识证书申请操作手册》</w:t>
      </w:r>
      <w:r>
        <w:rPr>
          <w:rFonts w:hint="eastAsia" w:ascii="仿宋_GB2312" w:hAnsi="仿宋_GB2312" w:eastAsia="仿宋_GB2312" w:cs="仿宋_GB2312"/>
          <w:color w:val="auto"/>
          <w:spacing w:val="4"/>
          <w:sz w:val="24"/>
          <w:szCs w:val="24"/>
          <w:highlight w:val="none"/>
          <w:lang w:eastAsia="zh-CN"/>
        </w:rPr>
        <w:t>。</w:t>
      </w:r>
    </w:p>
    <w:p w14:paraId="4D61CFF1">
      <w:pPr>
        <w:pStyle w:val="3"/>
        <w:kinsoku/>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(三)报名时间：2026年</w:t>
      </w:r>
      <w:r>
        <w:rPr>
          <w:rFonts w:hint="eastAsia" w:ascii="仿宋_GB2312" w:hAnsi="仿宋_GB2312" w:eastAsia="仿宋_GB2312" w:cs="仿宋_GB2312"/>
          <w:color w:val="auto"/>
          <w:spacing w:val="8"/>
          <w:sz w:val="24"/>
          <w:szCs w:val="24"/>
          <w:highlight w:val="none"/>
          <w:lang w:val="en-US" w:eastAsia="zh-CN"/>
        </w:rPr>
        <w:t>10</w:t>
      </w:r>
      <w:r>
        <w:rPr>
          <w:rFonts w:hint="eastAsia" w:ascii="仿宋_GB2312" w:hAnsi="仿宋_GB2312" w:eastAsia="仿宋_GB2312" w:cs="仿宋_GB2312"/>
          <w:color w:val="auto"/>
          <w:spacing w:val="8"/>
          <w:sz w:val="24"/>
          <w:szCs w:val="24"/>
          <w:highlight w:val="none"/>
          <w:lang w:eastAsia="zh-CN"/>
        </w:rPr>
        <w:t>月</w:t>
      </w:r>
      <w:r>
        <w:rPr>
          <w:rFonts w:hint="eastAsia" w:ascii="仿宋_GB2312" w:hAnsi="仿宋_GB2312" w:eastAsia="仿宋_GB2312" w:cs="仿宋_GB2312"/>
          <w:color w:val="auto"/>
          <w:spacing w:val="8"/>
          <w:sz w:val="24"/>
          <w:szCs w:val="24"/>
          <w:highlight w:val="none"/>
          <w:lang w:val="en-US" w:eastAsia="zh-CN"/>
        </w:rPr>
        <w:t>24</w:t>
      </w:r>
      <w:r>
        <w:rPr>
          <w:rFonts w:hint="eastAsia" w:ascii="仿宋_GB2312" w:hAnsi="仿宋_GB2312" w:eastAsia="仿宋_GB2312" w:cs="仿宋_GB2312"/>
          <w:color w:val="auto"/>
          <w:spacing w:val="8"/>
          <w:sz w:val="24"/>
          <w:szCs w:val="24"/>
          <w:highlight w:val="none"/>
          <w:lang w:eastAsia="zh-CN"/>
        </w:rPr>
        <w:t>日9:</w:t>
      </w:r>
      <w:r>
        <w:rPr>
          <w:rFonts w:hint="eastAsia" w:ascii="仿宋_GB2312" w:hAnsi="仿宋_GB2312" w:eastAsia="仿宋_GB2312" w:cs="仿宋_GB2312"/>
          <w:color w:val="auto"/>
          <w:spacing w:val="8"/>
          <w:sz w:val="24"/>
          <w:szCs w:val="24"/>
          <w:highlight w:val="none"/>
          <w:lang w:val="en-US" w:eastAsia="zh-CN"/>
        </w:rPr>
        <w:t>0</w:t>
      </w:r>
      <w:r>
        <w:rPr>
          <w:rFonts w:hint="eastAsia" w:ascii="仿宋_GB2312" w:hAnsi="仿宋_GB2312" w:eastAsia="仿宋_GB2312" w:cs="仿宋_GB2312"/>
          <w:color w:val="auto"/>
          <w:spacing w:val="8"/>
          <w:sz w:val="24"/>
          <w:szCs w:val="24"/>
          <w:highlight w:val="none"/>
          <w:lang w:eastAsia="zh-CN"/>
        </w:rPr>
        <w:t>0-</w:t>
      </w:r>
      <w:r>
        <w:rPr>
          <w:rFonts w:hint="eastAsia" w:ascii="仿宋_GB2312" w:hAnsi="仿宋_GB2312" w:eastAsia="仿宋_GB2312" w:cs="仿宋_GB2312"/>
          <w:color w:val="auto"/>
          <w:spacing w:val="7"/>
          <w:sz w:val="24"/>
          <w:szCs w:val="24"/>
          <w:highlight w:val="none"/>
          <w:lang w:eastAsia="zh-CN"/>
        </w:rPr>
        <w:t>2026年</w:t>
      </w:r>
      <w:r>
        <w:rPr>
          <w:rFonts w:hint="eastAsia" w:ascii="仿宋_GB2312" w:hAnsi="仿宋_GB2312" w:eastAsia="仿宋_GB2312" w:cs="仿宋_GB2312"/>
          <w:color w:val="auto"/>
          <w:spacing w:val="7"/>
          <w:sz w:val="24"/>
          <w:szCs w:val="24"/>
          <w:highlight w:val="none"/>
          <w:lang w:val="en-US" w:eastAsia="zh-CN"/>
        </w:rPr>
        <w:t>11</w:t>
      </w:r>
      <w:r>
        <w:rPr>
          <w:rFonts w:hint="eastAsia" w:ascii="仿宋_GB2312" w:hAnsi="仿宋_GB2312" w:eastAsia="仿宋_GB2312" w:cs="仿宋_GB2312"/>
          <w:color w:val="auto"/>
          <w:spacing w:val="7"/>
          <w:sz w:val="24"/>
          <w:szCs w:val="24"/>
          <w:highlight w:val="none"/>
          <w:lang w:eastAsia="zh-CN"/>
        </w:rPr>
        <w:t>月</w:t>
      </w:r>
      <w:r>
        <w:rPr>
          <w:rFonts w:hint="eastAsia" w:ascii="仿宋_GB2312" w:hAnsi="仿宋_GB2312" w:eastAsia="仿宋_GB2312" w:cs="仿宋_GB2312"/>
          <w:color w:val="auto"/>
          <w:spacing w:val="7"/>
          <w:sz w:val="24"/>
          <w:szCs w:val="24"/>
          <w:highlight w:val="none"/>
          <w:lang w:val="en-US" w:eastAsia="zh-CN"/>
        </w:rPr>
        <w:t>10</w:t>
      </w:r>
      <w:r>
        <w:rPr>
          <w:rFonts w:hint="eastAsia" w:ascii="仿宋_GB2312" w:hAnsi="仿宋_GB2312" w:eastAsia="仿宋_GB2312" w:cs="仿宋_GB2312"/>
          <w:color w:val="auto"/>
          <w:spacing w:val="7"/>
          <w:sz w:val="24"/>
          <w:szCs w:val="24"/>
          <w:highlight w:val="none"/>
          <w:lang w:eastAsia="zh-CN"/>
        </w:rPr>
        <w:t>日17:00，竞价人请在报名有效期内登录厦门市资产</w:t>
      </w:r>
      <w:r>
        <w:rPr>
          <w:rFonts w:hint="eastAsia" w:ascii="仿宋_GB2312" w:hAnsi="仿宋_GB2312" w:eastAsia="仿宋_GB2312" w:cs="仿宋_GB2312"/>
          <w:color w:val="auto"/>
          <w:spacing w:val="5"/>
          <w:sz w:val="24"/>
          <w:szCs w:val="24"/>
          <w:highlight w:val="none"/>
          <w:lang w:eastAsia="zh-CN"/>
        </w:rPr>
        <w:t>资源交易系统首页“操作视频”栏，熟悉操作流程。</w:t>
      </w:r>
    </w:p>
    <w:p w14:paraId="3C733B19">
      <w:pPr>
        <w:pStyle w:val="3"/>
        <w:kinsoku/>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(四)单位竞价人须准备营业执照(复印件盖公章)、法人身份证件(复印件本人签字按手印、盖公章)、</w:t>
      </w:r>
      <w:r>
        <w:rPr>
          <w:rFonts w:hint="eastAsia" w:ascii="仿宋_GB2312" w:hAnsi="仿宋_GB2312" w:eastAsia="仿宋_GB2312" w:cs="仿宋_GB2312"/>
          <w:color w:val="auto"/>
          <w:spacing w:val="9"/>
          <w:sz w:val="24"/>
          <w:szCs w:val="24"/>
          <w:highlight w:val="none"/>
          <w:lang w:eastAsia="zh-CN"/>
        </w:rPr>
        <w:t>经办人身份证件(复印件本人签字按手印、盖公章)、授权委托书原件、竞价保证金银行转账凭证(公</w:t>
      </w:r>
      <w:r>
        <w:rPr>
          <w:rFonts w:hint="eastAsia" w:ascii="仿宋_GB2312" w:hAnsi="仿宋_GB2312" w:eastAsia="仿宋_GB2312" w:cs="仿宋_GB2312"/>
          <w:color w:val="auto"/>
          <w:spacing w:val="8"/>
          <w:sz w:val="24"/>
          <w:szCs w:val="24"/>
          <w:highlight w:val="none"/>
          <w:lang w:eastAsia="zh-CN"/>
        </w:rPr>
        <w:t>对公转</w:t>
      </w:r>
      <w:r>
        <w:rPr>
          <w:rFonts w:hint="eastAsia" w:ascii="仿宋_GB2312" w:hAnsi="仿宋_GB2312" w:eastAsia="仿宋_GB2312" w:cs="仿宋_GB2312"/>
          <w:color w:val="auto"/>
          <w:spacing w:val="7"/>
          <w:sz w:val="24"/>
          <w:szCs w:val="24"/>
          <w:highlight w:val="none"/>
          <w:lang w:eastAsia="zh-CN"/>
        </w:rPr>
        <w:t>账)等，上述材料均扫描/拍照后，上传至交</w:t>
      </w:r>
      <w:r>
        <w:rPr>
          <w:rFonts w:hint="eastAsia" w:ascii="仿宋_GB2312" w:hAnsi="仿宋_GB2312" w:eastAsia="仿宋_GB2312" w:cs="仿宋_GB2312"/>
          <w:color w:val="auto"/>
          <w:spacing w:val="6"/>
          <w:sz w:val="24"/>
          <w:szCs w:val="24"/>
          <w:highlight w:val="none"/>
          <w:lang w:eastAsia="zh-CN"/>
        </w:rPr>
        <w:t>易系统；</w:t>
      </w:r>
    </w:p>
    <w:p w14:paraId="7F5F8848">
      <w:pPr>
        <w:pStyle w:val="3"/>
        <w:kinsoku/>
        <w:autoSpaceDE/>
        <w:autoSpaceDN/>
        <w:spacing w:before="0" w:line="440" w:lineRule="exact"/>
        <w:ind w:left="0" w:leftChars="0"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自然人竞价人须准备身份证件(复印件本人签字按手印)、“信用中国（福建厦门）”（https://credit.xm.gov.cn/）</w:t>
      </w:r>
      <w:r>
        <w:rPr>
          <w:rFonts w:hint="eastAsia" w:ascii="仿宋_GB2312" w:hAnsi="仿宋_GB2312" w:eastAsia="仿宋_GB2312" w:cs="仿宋_GB2312"/>
          <w:color w:val="auto"/>
          <w:sz w:val="24"/>
          <w:szCs w:val="24"/>
          <w:highlight w:val="none"/>
          <w:lang w:val="en-US" w:eastAsia="zh-CN"/>
        </w:rPr>
        <w:t>和</w:t>
      </w:r>
      <w:r>
        <w:rPr>
          <w:rFonts w:hint="eastAsia" w:ascii="仿宋_GB2312" w:hAnsi="仿宋_GB2312" w:eastAsia="仿宋_GB2312" w:cs="仿宋_GB2312"/>
          <w:color w:val="auto"/>
          <w:sz w:val="24"/>
          <w:szCs w:val="24"/>
          <w:highlight w:val="none"/>
          <w:lang w:eastAsia="zh-CN"/>
        </w:rPr>
        <w:t>“中国执行信息公开网”（http://zxgk.court.gov.cn/）</w:t>
      </w:r>
      <w:r>
        <w:rPr>
          <w:rFonts w:hint="eastAsia" w:ascii="仿宋_GB2312" w:hAnsi="仿宋_GB2312" w:eastAsia="仿宋_GB2312" w:cs="仿宋_GB2312"/>
          <w:color w:val="auto"/>
          <w:sz w:val="24"/>
          <w:szCs w:val="24"/>
          <w:highlight w:val="none"/>
          <w:lang w:val="en-US" w:eastAsia="zh-CN"/>
        </w:rPr>
        <w:t>两个网站信用记录查询页面</w:t>
      </w:r>
      <w:r>
        <w:rPr>
          <w:rFonts w:hint="eastAsia" w:ascii="仿宋_GB2312" w:hAnsi="仿宋_GB2312" w:eastAsia="仿宋_GB2312" w:cs="仿宋_GB2312"/>
          <w:color w:val="auto"/>
          <w:sz w:val="24"/>
          <w:szCs w:val="24"/>
          <w:highlight w:val="none"/>
          <w:lang w:eastAsia="zh-CN"/>
        </w:rPr>
        <w:t>(复印件本人签字按手印)、竞价保证金银行转账凭证等，上述材料均扫描/拍照后，上传至交易系统；</w:t>
      </w:r>
    </w:p>
    <w:p w14:paraId="767EE701">
      <w:pPr>
        <w:pStyle w:val="3"/>
        <w:kinsoku/>
        <w:autoSpaceDE/>
        <w:autoSpaceDN/>
        <w:spacing w:before="0" w:line="440" w:lineRule="exact"/>
        <w:ind w:left="0" w:leftChars="0" w:right="0" w:rightChars="0" w:firstLine="488"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2"/>
          <w:sz w:val="24"/>
          <w:szCs w:val="24"/>
          <w:highlight w:val="none"/>
          <w:lang w:eastAsia="zh-CN"/>
        </w:rPr>
        <w:t>(五)竞价人应按照要求在申请报名时在系统报名页面-</w:t>
      </w:r>
      <w:r>
        <w:rPr>
          <w:rFonts w:hint="eastAsia" w:ascii="仿宋_GB2312" w:hAnsi="仿宋_GB2312" w:eastAsia="仿宋_GB2312" w:cs="仿宋_GB2312"/>
          <w:color w:val="auto"/>
          <w:spacing w:val="2"/>
          <w:sz w:val="24"/>
          <w:szCs w:val="24"/>
          <w:highlight w:val="none"/>
          <w:lang w:val="en-US" w:eastAsia="zh-CN"/>
        </w:rPr>
        <w:t>签章文件（</w:t>
      </w:r>
      <w:r>
        <w:rPr>
          <w:rFonts w:hint="eastAsia" w:ascii="仿宋_GB2312" w:hAnsi="仿宋_GB2312" w:eastAsia="仿宋_GB2312" w:cs="仿宋_GB2312"/>
          <w:color w:val="auto"/>
          <w:spacing w:val="2"/>
          <w:sz w:val="24"/>
          <w:szCs w:val="24"/>
          <w:highlight w:val="none"/>
          <w:lang w:eastAsia="zh-CN"/>
        </w:rPr>
        <w:t>包括《竞价清单》、《房屋租赁合同》样稿、《商户信用管理办法（试行）》</w:t>
      </w:r>
      <w:r>
        <w:rPr>
          <w:rFonts w:hint="eastAsia" w:ascii="仿宋_GB2312" w:hAnsi="仿宋_GB2312" w:eastAsia="仿宋_GB2312" w:cs="仿宋_GB2312"/>
          <w:color w:val="auto"/>
          <w:spacing w:val="2"/>
          <w:sz w:val="24"/>
          <w:szCs w:val="24"/>
          <w:highlight w:val="none"/>
          <w:lang w:val="en-US" w:eastAsia="zh-CN"/>
        </w:rPr>
        <w:t>）</w:t>
      </w:r>
      <w:r>
        <w:rPr>
          <w:rFonts w:hint="eastAsia" w:ascii="仿宋_GB2312" w:hAnsi="仿宋_GB2312" w:eastAsia="仿宋_GB2312" w:cs="仿宋_GB2312"/>
          <w:color w:val="auto"/>
          <w:spacing w:val="2"/>
          <w:sz w:val="24"/>
          <w:szCs w:val="24"/>
          <w:highlight w:val="none"/>
          <w:lang w:eastAsia="zh-CN"/>
        </w:rPr>
        <w:t>处进行电子签章（</w:t>
      </w:r>
      <w:r>
        <w:rPr>
          <w:rFonts w:hint="eastAsia" w:ascii="仿宋_GB2312" w:hAnsi="仿宋_GB2312" w:eastAsia="仿宋_GB2312" w:cs="仿宋_GB2312"/>
          <w:color w:val="auto"/>
          <w:spacing w:val="2"/>
          <w:sz w:val="24"/>
          <w:szCs w:val="24"/>
          <w:highlight w:val="none"/>
          <w:lang w:val="en-US" w:eastAsia="zh-CN"/>
        </w:rPr>
        <w:t>骑缝章</w:t>
      </w:r>
      <w:r>
        <w:rPr>
          <w:rFonts w:hint="eastAsia" w:ascii="仿宋_GB2312" w:hAnsi="仿宋_GB2312" w:eastAsia="仿宋_GB2312" w:cs="仿宋_GB2312"/>
          <w:color w:val="auto"/>
          <w:spacing w:val="2"/>
          <w:sz w:val="24"/>
          <w:szCs w:val="24"/>
          <w:highlight w:val="none"/>
          <w:lang w:eastAsia="zh-CN"/>
        </w:rPr>
        <w:t>）确认，本协议结尾竞价人落款处及骑缝。不能通过电子签章实现的，必须另行提交签字(按手印)/盖章确认过的对应附件扫描件或清晰照片以供审核。</w:t>
      </w:r>
    </w:p>
    <w:p w14:paraId="7D710CC4">
      <w:pPr>
        <w:pStyle w:val="3"/>
        <w:kinsoku/>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(六)享有优先承租权的权利人，还须在申请报名时提交原《房屋租赁合同</w:t>
      </w:r>
      <w:r>
        <w:rPr>
          <w:rFonts w:hint="eastAsia" w:ascii="仿宋_GB2312" w:hAnsi="仿宋_GB2312" w:eastAsia="仿宋_GB2312" w:cs="仿宋_GB2312"/>
          <w:color w:val="auto"/>
          <w:spacing w:val="10"/>
          <w:sz w:val="24"/>
          <w:szCs w:val="24"/>
          <w:highlight w:val="none"/>
          <w:lang w:eastAsia="zh-CN"/>
        </w:rPr>
        <w:t>》或者其他证明文件，报名</w:t>
      </w:r>
      <w:r>
        <w:rPr>
          <w:rFonts w:hint="eastAsia" w:ascii="仿宋_GB2312" w:hAnsi="仿宋_GB2312" w:eastAsia="仿宋_GB2312" w:cs="仿宋_GB2312"/>
          <w:color w:val="auto"/>
          <w:spacing w:val="11"/>
          <w:sz w:val="24"/>
          <w:szCs w:val="24"/>
          <w:highlight w:val="none"/>
          <w:lang w:eastAsia="zh-CN"/>
        </w:rPr>
        <w:t>参加《房屋租赁合同》或者其他证明文件所指标的承租权的竞价，并经交易实施主体确认后，方可取得优先承租</w:t>
      </w:r>
      <w:r>
        <w:rPr>
          <w:rFonts w:hint="eastAsia" w:ascii="仿宋_GB2312" w:hAnsi="仿宋_GB2312" w:eastAsia="仿宋_GB2312" w:cs="仿宋_GB2312"/>
          <w:color w:val="auto"/>
          <w:spacing w:val="-3"/>
          <w:sz w:val="24"/>
          <w:szCs w:val="24"/>
          <w:highlight w:val="none"/>
          <w:lang w:eastAsia="zh-CN"/>
        </w:rPr>
        <w:t>权。</w:t>
      </w:r>
    </w:p>
    <w:p w14:paraId="7503C1B2">
      <w:pPr>
        <w:pStyle w:val="3"/>
        <w:kinsoku/>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(七)根据相关规则要求，所有竞价人的竞价资料须经审核通过后，方</w:t>
      </w:r>
      <w:r>
        <w:rPr>
          <w:rFonts w:hint="eastAsia" w:ascii="仿宋_GB2312" w:hAnsi="仿宋_GB2312" w:eastAsia="仿宋_GB2312" w:cs="仿宋_GB2312"/>
          <w:color w:val="auto"/>
          <w:spacing w:val="10"/>
          <w:sz w:val="24"/>
          <w:szCs w:val="24"/>
          <w:highlight w:val="none"/>
          <w:lang w:eastAsia="zh-CN"/>
        </w:rPr>
        <w:t>可取得竞价资格。意向竞价人应在报名有效期内提供(包含但不仅限于补充材料、更正材料)真实资料，因意向竞价人提供不实资料、进行</w:t>
      </w:r>
      <w:r>
        <w:rPr>
          <w:rFonts w:hint="eastAsia" w:ascii="仿宋_GB2312" w:hAnsi="仿宋_GB2312" w:eastAsia="仿宋_GB2312" w:cs="仿宋_GB2312"/>
          <w:color w:val="auto"/>
          <w:spacing w:val="11"/>
          <w:sz w:val="24"/>
          <w:szCs w:val="24"/>
          <w:highlight w:val="none"/>
          <w:lang w:eastAsia="zh-CN"/>
        </w:rPr>
        <w:t>虚假陈述、隐瞒事实真相、超期提交/补充/更正材料所造成的一切后果，应自行承担相应的法律责任及后</w:t>
      </w:r>
      <w:r>
        <w:rPr>
          <w:rFonts w:hint="eastAsia" w:ascii="仿宋_GB2312" w:hAnsi="仿宋_GB2312" w:eastAsia="仿宋_GB2312" w:cs="仿宋_GB2312"/>
          <w:color w:val="auto"/>
          <w:spacing w:val="-4"/>
          <w:sz w:val="24"/>
          <w:szCs w:val="24"/>
          <w:highlight w:val="none"/>
          <w:lang w:eastAsia="zh-CN"/>
        </w:rPr>
        <w:t>果。</w:t>
      </w:r>
    </w:p>
    <w:p w14:paraId="2C2ACBAB">
      <w:pPr>
        <w:pStyle w:val="3"/>
        <w:kinsoku/>
        <w:autoSpaceDE/>
        <w:autoSpaceDN/>
        <w:spacing w:before="0" w:line="440" w:lineRule="exact"/>
        <w:ind w:left="0" w:leftChars="0" w:right="0" w:rightChars="0" w:firstLine="462"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五、竞价保证金</w:t>
      </w:r>
    </w:p>
    <w:p w14:paraId="00D4184C">
      <w:pPr>
        <w:pStyle w:val="3"/>
        <w:kinsoku/>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(一)甲方通过厦门市公共资源交易保证金管理系统进行竞价保证金的收退办理。</w:t>
      </w:r>
    </w:p>
    <w:p w14:paraId="63B4BF6C">
      <w:pPr>
        <w:pStyle w:val="3"/>
        <w:kinsoku/>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乙方参加标的竞价应交纳标的对应的竞价保证金，有意竞得多个意向标的的竞价人应当缴纳对应每个</w:t>
      </w:r>
      <w:r>
        <w:rPr>
          <w:rFonts w:hint="eastAsia" w:ascii="仿宋_GB2312" w:hAnsi="仿宋_GB2312" w:eastAsia="仿宋_GB2312" w:cs="仿宋_GB2312"/>
          <w:color w:val="auto"/>
          <w:spacing w:val="7"/>
          <w:sz w:val="24"/>
          <w:szCs w:val="24"/>
          <w:highlight w:val="none"/>
          <w:lang w:eastAsia="zh-CN"/>
        </w:rPr>
        <w:t>标的的竞价保证金。</w:t>
      </w:r>
    </w:p>
    <w:p w14:paraId="28208BB2">
      <w:pPr>
        <w:pStyle w:val="3"/>
        <w:kinsoku/>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竞价保证金应在2026年</w:t>
      </w:r>
      <w:r>
        <w:rPr>
          <w:rFonts w:hint="eastAsia" w:ascii="仿宋_GB2312" w:hAnsi="仿宋_GB2312" w:eastAsia="仿宋_GB2312" w:cs="仿宋_GB2312"/>
          <w:color w:val="auto"/>
          <w:spacing w:val="9"/>
          <w:sz w:val="24"/>
          <w:szCs w:val="24"/>
          <w:highlight w:val="none"/>
          <w:lang w:val="en-US" w:eastAsia="zh-CN"/>
        </w:rPr>
        <w:t>11</w:t>
      </w:r>
      <w:r>
        <w:rPr>
          <w:rFonts w:hint="eastAsia" w:ascii="仿宋_GB2312" w:hAnsi="仿宋_GB2312" w:eastAsia="仿宋_GB2312" w:cs="仿宋_GB2312"/>
          <w:color w:val="auto"/>
          <w:spacing w:val="9"/>
          <w:sz w:val="24"/>
          <w:szCs w:val="24"/>
          <w:highlight w:val="none"/>
          <w:lang w:eastAsia="zh-CN"/>
        </w:rPr>
        <w:t>月</w:t>
      </w:r>
      <w:r>
        <w:rPr>
          <w:rFonts w:hint="eastAsia" w:ascii="仿宋_GB2312" w:hAnsi="仿宋_GB2312" w:eastAsia="仿宋_GB2312" w:cs="仿宋_GB2312"/>
          <w:color w:val="auto"/>
          <w:spacing w:val="9"/>
          <w:sz w:val="24"/>
          <w:szCs w:val="24"/>
          <w:highlight w:val="none"/>
          <w:lang w:val="en-US" w:eastAsia="zh-CN"/>
        </w:rPr>
        <w:t>10</w:t>
      </w:r>
      <w:r>
        <w:rPr>
          <w:rFonts w:hint="eastAsia" w:ascii="仿宋_GB2312" w:hAnsi="仿宋_GB2312" w:eastAsia="仿宋_GB2312" w:cs="仿宋_GB2312"/>
          <w:color w:val="auto"/>
          <w:spacing w:val="9"/>
          <w:sz w:val="24"/>
          <w:szCs w:val="24"/>
          <w:highlight w:val="none"/>
          <w:lang w:eastAsia="zh-CN"/>
        </w:rPr>
        <w:t>日17:00时前汇至甲方指定账户，并在申请报名时提交保证金缴款凭证。</w:t>
      </w:r>
      <w:r>
        <w:rPr>
          <w:rFonts w:hint="eastAsia" w:ascii="仿宋_GB2312" w:hAnsi="仿宋_GB2312" w:eastAsia="仿宋_GB2312" w:cs="仿宋_GB2312"/>
          <w:color w:val="auto"/>
          <w:spacing w:val="6"/>
          <w:sz w:val="24"/>
          <w:szCs w:val="24"/>
          <w:highlight w:val="none"/>
          <w:lang w:eastAsia="zh-CN"/>
        </w:rPr>
        <w:t>甲方指定以下账户收取竞价保证金：</w:t>
      </w:r>
    </w:p>
    <w:p w14:paraId="039BFB77">
      <w:pPr>
        <w:pStyle w:val="3"/>
        <w:kinsoku/>
        <w:autoSpaceDE/>
        <w:autoSpaceDN/>
        <w:spacing w:before="0" w:line="440" w:lineRule="exact"/>
        <w:ind w:left="0" w:leftChars="0" w:right="0" w:rightChars="0" w:firstLine="508"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7"/>
          <w:sz w:val="24"/>
          <w:szCs w:val="24"/>
          <w:highlight w:val="none"/>
          <w:lang w:eastAsia="zh-CN"/>
        </w:rPr>
        <w:t>户  名：厦门市公共资源交易中心；</w:t>
      </w:r>
    </w:p>
    <w:p w14:paraId="120AC8DE">
      <w:pPr>
        <w:pStyle w:val="3"/>
        <w:kinsoku/>
        <w:autoSpaceDE/>
        <w:autoSpaceDN/>
        <w:spacing w:before="0" w:line="440" w:lineRule="exact"/>
        <w:ind w:left="0" w:leftChars="0" w:right="0" w:rightChars="0" w:firstLine="50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5"/>
          <w:sz w:val="24"/>
          <w:szCs w:val="24"/>
          <w:highlight w:val="none"/>
          <w:lang w:eastAsia="zh-CN"/>
        </w:rPr>
        <w:t>账  号：403795010400003330000009893</w:t>
      </w:r>
      <w:r>
        <w:rPr>
          <w:rFonts w:hint="eastAsia" w:ascii="仿宋_GB2312" w:hAnsi="仿宋_GB2312" w:eastAsia="仿宋_GB2312" w:cs="仿宋_GB2312"/>
          <w:color w:val="auto"/>
          <w:spacing w:val="4"/>
          <w:sz w:val="24"/>
          <w:szCs w:val="24"/>
          <w:highlight w:val="none"/>
          <w:lang w:eastAsia="zh-CN"/>
        </w:rPr>
        <w:t>；</w:t>
      </w:r>
    </w:p>
    <w:p w14:paraId="42C8AECF">
      <w:pPr>
        <w:pStyle w:val="3"/>
        <w:kinsoku/>
        <w:autoSpaceDE/>
        <w:autoSpaceDN/>
        <w:spacing w:before="0" w:line="440" w:lineRule="exact"/>
        <w:ind w:left="0" w:leftChars="0" w:right="0" w:rightChars="0" w:firstLine="508" w:firstLineChars="200"/>
        <w:jc w:val="both"/>
        <w:rPr>
          <w:rFonts w:hint="eastAsia" w:ascii="仿宋_GB2312" w:hAnsi="仿宋_GB2312" w:eastAsia="仿宋_GB2312" w:cs="仿宋_GB2312"/>
          <w:color w:val="auto"/>
          <w:spacing w:val="6"/>
          <w:sz w:val="24"/>
          <w:szCs w:val="24"/>
          <w:highlight w:val="none"/>
          <w:lang w:eastAsia="zh-CN"/>
        </w:rPr>
      </w:pPr>
      <w:r>
        <w:rPr>
          <w:rFonts w:hint="eastAsia" w:ascii="仿宋_GB2312" w:hAnsi="仿宋_GB2312" w:eastAsia="仿宋_GB2312" w:cs="仿宋_GB2312"/>
          <w:color w:val="auto"/>
          <w:spacing w:val="7"/>
          <w:sz w:val="24"/>
          <w:szCs w:val="24"/>
          <w:highlight w:val="none"/>
          <w:lang w:eastAsia="zh-CN"/>
        </w:rPr>
        <w:t>开户行：中国农业银行股份有限公司厦门政务中心支行</w:t>
      </w:r>
      <w:r>
        <w:rPr>
          <w:rFonts w:hint="eastAsia" w:ascii="仿宋_GB2312" w:hAnsi="仿宋_GB2312" w:eastAsia="仿宋_GB2312" w:cs="仿宋_GB2312"/>
          <w:color w:val="auto"/>
          <w:spacing w:val="6"/>
          <w:sz w:val="24"/>
          <w:szCs w:val="24"/>
          <w:highlight w:val="none"/>
          <w:lang w:eastAsia="zh-CN"/>
        </w:rPr>
        <w:t>。</w:t>
      </w:r>
    </w:p>
    <w:p w14:paraId="0ED5165F">
      <w:pPr>
        <w:pStyle w:val="3"/>
        <w:kinsoku/>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pacing w:val="9"/>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二)乙方成功竞得标的后，待乙方支付甲方竞价佣金并与交易实施主体签订《房屋租赁合同》并支付《房屋租赁合同》首期租金及履约保证金后，竞价保证金退还至乙方银行账户；若乙方缴纳多份保证金并竞得多个标的的，乙方承诺已缴纳的对应标的竞价保证金均按照前款规定执行；甲方及竞价人确认，本协议约定的竞价保证金在乙方成为竞得人但未履行相关权利义务时，乙方放弃相关竞价保证金，并作为违约金支付给交易实施主体，交易实施主体在该笔违约金中支付甲方应收取的竞价佣金。</w:t>
      </w:r>
    </w:p>
    <w:p w14:paraId="695AF891">
      <w:pPr>
        <w:pStyle w:val="3"/>
        <w:kinsoku/>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(三)如乙方未能竞得标的，竞价保证金在成交结果公示7日无异议后的5个工作日内全额无息退还至乙</w:t>
      </w:r>
      <w:r>
        <w:rPr>
          <w:rFonts w:hint="eastAsia" w:ascii="仿宋_GB2312" w:hAnsi="仿宋_GB2312" w:eastAsia="仿宋_GB2312" w:cs="仿宋_GB2312"/>
          <w:color w:val="auto"/>
          <w:spacing w:val="5"/>
          <w:sz w:val="24"/>
          <w:szCs w:val="24"/>
          <w:highlight w:val="none"/>
          <w:lang w:eastAsia="zh-CN"/>
        </w:rPr>
        <w:t>方银行账户。</w:t>
      </w:r>
    </w:p>
    <w:p w14:paraId="61FEC3F7">
      <w:pPr>
        <w:pStyle w:val="3"/>
        <w:kinsoku/>
        <w:autoSpaceDE/>
        <w:autoSpaceDN/>
        <w:spacing w:before="0" w:line="440" w:lineRule="exact"/>
        <w:ind w:left="0" w:leftChars="0" w:right="0" w:rightChars="0" w:firstLine="528"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2"/>
          <w:sz w:val="24"/>
          <w:szCs w:val="24"/>
          <w:highlight w:val="none"/>
          <w:lang w:eastAsia="zh-CN"/>
        </w:rPr>
        <w:t>(四)如乙方未通过资格审核，竞价保证金在资格审查结束之日起2个工作日内</w:t>
      </w:r>
      <w:r>
        <w:rPr>
          <w:rFonts w:hint="eastAsia" w:ascii="仿宋_GB2312" w:hAnsi="仿宋_GB2312" w:eastAsia="仿宋_GB2312" w:cs="仿宋_GB2312"/>
          <w:color w:val="auto"/>
          <w:spacing w:val="11"/>
          <w:sz w:val="24"/>
          <w:szCs w:val="24"/>
          <w:highlight w:val="none"/>
          <w:lang w:eastAsia="zh-CN"/>
        </w:rPr>
        <w:t>全额无息退还至乙方银</w:t>
      </w:r>
      <w:r>
        <w:rPr>
          <w:rFonts w:hint="eastAsia" w:ascii="仿宋_GB2312" w:hAnsi="仿宋_GB2312" w:eastAsia="仿宋_GB2312" w:cs="仿宋_GB2312"/>
          <w:color w:val="auto"/>
          <w:spacing w:val="3"/>
          <w:sz w:val="24"/>
          <w:szCs w:val="24"/>
          <w:highlight w:val="none"/>
          <w:lang w:eastAsia="zh-CN"/>
        </w:rPr>
        <w:t>行账户。</w:t>
      </w:r>
    </w:p>
    <w:p w14:paraId="05B0CD26">
      <w:pPr>
        <w:pStyle w:val="3"/>
        <w:kinsoku/>
        <w:autoSpaceDE/>
        <w:autoSpaceDN/>
        <w:spacing w:before="0" w:line="440" w:lineRule="exact"/>
        <w:ind w:left="0" w:leftChars="0" w:right="0" w:rightChars="0" w:firstLine="462"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六、竞价操作</w:t>
      </w:r>
    </w:p>
    <w:p w14:paraId="6ABAEC4A">
      <w:pPr>
        <w:pStyle w:val="3"/>
        <w:kinsoku/>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(一)竞价人对自己申请的证书安全负责，应自行保管好</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11"/>
          <w:sz w:val="24"/>
          <w:szCs w:val="24"/>
          <w:highlight w:val="none"/>
          <w:lang w:eastAsia="zh-CN"/>
        </w:rPr>
        <w:t>数字证书或个人标识</w:t>
      </w:r>
      <w:r>
        <w:rPr>
          <w:rFonts w:hint="eastAsia" w:ascii="仿宋_GB2312" w:hAnsi="仿宋_GB2312" w:eastAsia="仿宋_GB2312" w:cs="仿宋_GB2312"/>
          <w:color w:val="auto"/>
          <w:spacing w:val="10"/>
          <w:sz w:val="24"/>
          <w:szCs w:val="24"/>
          <w:highlight w:val="none"/>
          <w:lang w:eastAsia="zh-CN"/>
        </w:rPr>
        <w:t>证书，任何使用竞价人</w:t>
      </w:r>
      <w:r>
        <w:rPr>
          <w:rFonts w:hint="eastAsia" w:ascii="仿宋_GB2312" w:hAnsi="仿宋_GB2312" w:eastAsia="仿宋_GB2312" w:cs="仿宋_GB2312"/>
          <w:color w:val="auto"/>
          <w:spacing w:val="8"/>
          <w:sz w:val="24"/>
          <w:szCs w:val="24"/>
          <w:highlight w:val="none"/>
          <w:lang w:eastAsia="zh-CN"/>
        </w:rPr>
        <w:t>证书登录交易系统的用户，在交易系统中的一切行为均视为该竞价人本人的行为，由竞价人自行负责。</w:t>
      </w:r>
    </w:p>
    <w:p w14:paraId="2007C9A5">
      <w:pPr>
        <w:pStyle w:val="3"/>
        <w:kinsoku/>
        <w:autoSpaceDE/>
        <w:autoSpaceDN/>
        <w:spacing w:line="440" w:lineRule="exact"/>
        <w:ind w:left="0" w:leftChars="0"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10"/>
          <w:sz w:val="24"/>
          <w:szCs w:val="24"/>
          <w:highlight w:val="none"/>
          <w:lang w:eastAsia="zh-CN"/>
        </w:rPr>
        <w:t>数字证书或个人标识证书只是登录系统的首要条件，是否具有相关标的竞价资格</w:t>
      </w:r>
      <w:r>
        <w:rPr>
          <w:rFonts w:hint="eastAsia" w:ascii="仿宋_GB2312" w:hAnsi="仿宋_GB2312" w:eastAsia="仿宋_GB2312" w:cs="仿宋_GB2312"/>
          <w:color w:val="auto"/>
          <w:spacing w:val="9"/>
          <w:sz w:val="24"/>
          <w:szCs w:val="24"/>
          <w:highlight w:val="none"/>
          <w:lang w:eastAsia="zh-CN"/>
        </w:rPr>
        <w:t>须待审查确认。</w:t>
      </w:r>
    </w:p>
    <w:p w14:paraId="65CF94F5">
      <w:pPr>
        <w:pStyle w:val="3"/>
        <w:kinsoku/>
        <w:autoSpaceDE/>
        <w:autoSpaceDN/>
        <w:spacing w:before="0" w:line="440" w:lineRule="exact"/>
        <w:ind w:left="0" w:leftChars="0" w:right="0" w:rightChars="0" w:firstLine="528"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2"/>
          <w:sz w:val="24"/>
          <w:szCs w:val="24"/>
          <w:highlight w:val="none"/>
          <w:lang w:eastAsia="zh-CN"/>
        </w:rPr>
        <w:t>竞价人应及时关注审核情况，资格审查提示须补充提</w:t>
      </w:r>
      <w:r>
        <w:rPr>
          <w:rFonts w:hint="eastAsia" w:ascii="仿宋_GB2312" w:hAnsi="仿宋_GB2312" w:eastAsia="仿宋_GB2312" w:cs="仿宋_GB2312"/>
          <w:color w:val="auto"/>
          <w:spacing w:val="11"/>
          <w:sz w:val="24"/>
          <w:szCs w:val="24"/>
          <w:highlight w:val="none"/>
          <w:lang w:eastAsia="zh-CN"/>
        </w:rPr>
        <w:t>交材料或更正材料的，应在报名有效期内及时提</w:t>
      </w:r>
      <w:r>
        <w:rPr>
          <w:rFonts w:hint="eastAsia" w:ascii="仿宋_GB2312" w:hAnsi="仿宋_GB2312" w:eastAsia="仿宋_GB2312" w:cs="仿宋_GB2312"/>
          <w:color w:val="auto"/>
          <w:spacing w:val="7"/>
          <w:sz w:val="24"/>
          <w:szCs w:val="24"/>
          <w:highlight w:val="none"/>
          <w:lang w:eastAsia="zh-CN"/>
        </w:rPr>
        <w:t>交，否则影响资格审查结果。报名有效期内未及时提交补充提交材料或更正材料的，资格审查不通过。</w:t>
      </w:r>
    </w:p>
    <w:p w14:paraId="679268EC">
      <w:pPr>
        <w:pStyle w:val="3"/>
        <w:kinsoku/>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竞价人资格审核通过后，安装并打开助盾安全客户端，用证书登录后请使用主流浏览器</w:t>
      </w:r>
      <w:r>
        <w:rPr>
          <w:rFonts w:hint="eastAsia" w:ascii="仿宋_GB2312" w:hAnsi="仿宋_GB2312" w:eastAsia="仿宋_GB2312" w:cs="仿宋_GB2312"/>
          <w:color w:val="auto"/>
          <w:spacing w:val="8"/>
          <w:sz w:val="24"/>
          <w:szCs w:val="24"/>
          <w:highlight w:val="none"/>
          <w:lang w:eastAsia="zh-CN"/>
        </w:rPr>
        <w:t>(谷歌浏览器、</w:t>
      </w:r>
      <w:r>
        <w:rPr>
          <w:rFonts w:hint="eastAsia" w:ascii="仿宋_GB2312" w:hAnsi="仿宋_GB2312" w:eastAsia="仿宋_GB2312" w:cs="仿宋_GB2312"/>
          <w:color w:val="auto"/>
          <w:spacing w:val="10"/>
          <w:sz w:val="24"/>
          <w:szCs w:val="24"/>
          <w:highlight w:val="none"/>
          <w:lang w:eastAsia="zh-CN"/>
        </w:rPr>
        <w:t>360浏览器、</w:t>
      </w:r>
      <w:r>
        <w:rPr>
          <w:rFonts w:hint="eastAsia" w:ascii="仿宋_GB2312" w:hAnsi="仿宋_GB2312" w:eastAsia="仿宋_GB2312" w:cs="仿宋_GB2312"/>
          <w:color w:val="auto"/>
          <w:sz w:val="24"/>
          <w:szCs w:val="24"/>
          <w:highlight w:val="none"/>
          <w:lang w:eastAsia="zh-CN"/>
        </w:rPr>
        <w:t>Microsoft</w:t>
      </w:r>
      <w:r>
        <w:rPr>
          <w:rFonts w:hint="eastAsia" w:ascii="仿宋_GB2312" w:hAnsi="仿宋_GB2312" w:eastAsia="仿宋_GB2312" w:cs="仿宋_GB2312"/>
          <w:color w:val="auto"/>
          <w:spacing w:val="10"/>
          <w:sz w:val="24"/>
          <w:szCs w:val="24"/>
          <w:highlight w:val="none"/>
          <w:lang w:eastAsia="zh-CN"/>
        </w:rPr>
        <w:t xml:space="preserve"> </w:t>
      </w:r>
      <w:r>
        <w:rPr>
          <w:rFonts w:hint="eastAsia" w:ascii="仿宋_GB2312" w:hAnsi="仿宋_GB2312" w:eastAsia="仿宋_GB2312" w:cs="仿宋_GB2312"/>
          <w:color w:val="auto"/>
          <w:sz w:val="24"/>
          <w:szCs w:val="24"/>
          <w:highlight w:val="none"/>
          <w:lang w:eastAsia="zh-CN"/>
        </w:rPr>
        <w:t>Edge</w:t>
      </w:r>
      <w:r>
        <w:rPr>
          <w:rFonts w:hint="eastAsia" w:ascii="仿宋_GB2312" w:hAnsi="仿宋_GB2312" w:eastAsia="仿宋_GB2312" w:cs="仿宋_GB2312"/>
          <w:color w:val="auto"/>
          <w:spacing w:val="10"/>
          <w:sz w:val="24"/>
          <w:szCs w:val="24"/>
          <w:highlight w:val="none"/>
          <w:lang w:eastAsia="zh-CN"/>
        </w:rPr>
        <w:t>、火狐浏览器)输入资产资源交易系统(</w:t>
      </w:r>
      <w:r>
        <w:rPr>
          <w:rFonts w:hint="eastAsia" w:ascii="仿宋_GB2312" w:hAnsi="仿宋_GB2312" w:eastAsia="仿宋_GB2312" w:cs="仿宋_GB2312"/>
          <w:color w:val="auto"/>
          <w:sz w:val="24"/>
          <w:szCs w:val="24"/>
          <w:highlight w:val="none"/>
        </w:rPr>
        <w:fldChar w:fldCharType="begin"/>
      </w:r>
      <w:r>
        <w:rPr>
          <w:rFonts w:hint="eastAsia" w:ascii="仿宋_GB2312" w:hAnsi="仿宋_GB2312" w:eastAsia="仿宋_GB2312" w:cs="仿宋_GB2312"/>
          <w:color w:val="auto"/>
          <w:sz w:val="24"/>
          <w:szCs w:val="24"/>
          <w:highlight w:val="none"/>
        </w:rPr>
        <w:instrText xml:space="preserve"> HYPERLINK "http://120.41.41.16:9101" </w:instrText>
      </w:r>
      <w:r>
        <w:rPr>
          <w:rFonts w:hint="eastAsia" w:ascii="仿宋_GB2312" w:hAnsi="仿宋_GB2312" w:eastAsia="仿宋_GB2312" w:cs="仿宋_GB2312"/>
          <w:color w:val="auto"/>
          <w:sz w:val="24"/>
          <w:szCs w:val="24"/>
          <w:highlight w:val="none"/>
        </w:rPr>
        <w:fldChar w:fldCharType="separate"/>
      </w:r>
      <w:r>
        <w:rPr>
          <w:rFonts w:hint="eastAsia" w:ascii="仿宋_GB2312" w:hAnsi="仿宋_GB2312" w:eastAsia="仿宋_GB2312" w:cs="仿宋_GB2312"/>
          <w:color w:val="auto"/>
          <w:sz w:val="24"/>
          <w:szCs w:val="24"/>
          <w:highlight w:val="none"/>
          <w:lang w:eastAsia="zh-CN"/>
        </w:rPr>
        <w:t>http</w:t>
      </w:r>
      <w:r>
        <w:rPr>
          <w:rFonts w:hint="eastAsia" w:ascii="仿宋_GB2312" w:hAnsi="仿宋_GB2312" w:eastAsia="仿宋_GB2312" w:cs="仿宋_GB2312"/>
          <w:color w:val="auto"/>
          <w:spacing w:val="10"/>
          <w:sz w:val="24"/>
          <w:szCs w:val="24"/>
          <w:highlight w:val="none"/>
          <w:lang w:eastAsia="zh-CN"/>
        </w:rPr>
        <w:t>://120.41.41.16:9101</w:t>
      </w:r>
      <w:r>
        <w:rPr>
          <w:rFonts w:hint="eastAsia" w:ascii="仿宋_GB2312" w:hAnsi="仿宋_GB2312" w:eastAsia="仿宋_GB2312" w:cs="仿宋_GB2312"/>
          <w:color w:val="auto"/>
          <w:spacing w:val="10"/>
          <w:sz w:val="24"/>
          <w:szCs w:val="24"/>
          <w:highlight w:val="none"/>
          <w:lang w:eastAsia="zh-CN"/>
        </w:rPr>
        <w:fldChar w:fldCharType="end"/>
      </w:r>
      <w:r>
        <w:rPr>
          <w:rFonts w:hint="eastAsia" w:ascii="仿宋_GB2312" w:hAnsi="仿宋_GB2312" w:eastAsia="仿宋_GB2312" w:cs="仿宋_GB2312"/>
          <w:color w:val="auto"/>
          <w:spacing w:val="10"/>
          <w:sz w:val="24"/>
          <w:szCs w:val="24"/>
          <w:highlight w:val="none"/>
          <w:lang w:eastAsia="zh-CN"/>
        </w:rPr>
        <w:t>)，打开网</w:t>
      </w:r>
      <w:r>
        <w:rPr>
          <w:rFonts w:hint="eastAsia" w:ascii="仿宋_GB2312" w:hAnsi="仿宋_GB2312" w:eastAsia="仿宋_GB2312" w:cs="仿宋_GB2312"/>
          <w:color w:val="auto"/>
          <w:spacing w:val="8"/>
          <w:sz w:val="24"/>
          <w:szCs w:val="24"/>
          <w:highlight w:val="none"/>
          <w:lang w:eastAsia="zh-CN"/>
        </w:rPr>
        <w:t>页后，点击“</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8"/>
          <w:sz w:val="24"/>
          <w:szCs w:val="24"/>
          <w:highlight w:val="none"/>
          <w:lang w:eastAsia="zh-CN"/>
        </w:rPr>
        <w:t>证书登录”登录系统，按照竞价人操作手册进行相关操作。</w:t>
      </w:r>
    </w:p>
    <w:p w14:paraId="76D0117A">
      <w:pPr>
        <w:pStyle w:val="3"/>
        <w:kinsoku/>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(二)竞价人应提前登录交易系统熟悉竞价环境，并</w:t>
      </w:r>
      <w:r>
        <w:rPr>
          <w:rFonts w:hint="eastAsia" w:ascii="仿宋_GB2312" w:hAnsi="仿宋_GB2312" w:eastAsia="仿宋_GB2312" w:cs="仿宋_GB2312"/>
          <w:color w:val="auto"/>
          <w:spacing w:val="10"/>
          <w:sz w:val="24"/>
          <w:szCs w:val="24"/>
          <w:highlight w:val="none"/>
          <w:lang w:eastAsia="zh-CN"/>
        </w:rPr>
        <w:t>在厦门市公共资源交易网发布的《信息公告》载明</w:t>
      </w:r>
      <w:r>
        <w:rPr>
          <w:rFonts w:hint="eastAsia" w:ascii="仿宋_GB2312" w:hAnsi="仿宋_GB2312" w:eastAsia="仿宋_GB2312" w:cs="仿宋_GB2312"/>
          <w:color w:val="auto"/>
          <w:spacing w:val="9"/>
          <w:sz w:val="24"/>
          <w:szCs w:val="24"/>
          <w:highlight w:val="none"/>
          <w:lang w:eastAsia="zh-CN"/>
        </w:rPr>
        <w:t>的竞价会开始时间前20分钟登录系统等待竞价开始。竞价人应尽量采用高带宽</w:t>
      </w:r>
      <w:r>
        <w:rPr>
          <w:rFonts w:hint="eastAsia" w:ascii="仿宋_GB2312" w:hAnsi="仿宋_GB2312" w:eastAsia="仿宋_GB2312" w:cs="仿宋_GB2312"/>
          <w:color w:val="auto"/>
          <w:spacing w:val="8"/>
          <w:sz w:val="24"/>
          <w:szCs w:val="24"/>
          <w:highlight w:val="none"/>
          <w:lang w:eastAsia="zh-CN"/>
        </w:rPr>
        <w:t>、高性能、安全的网络环境。</w:t>
      </w:r>
      <w:r>
        <w:rPr>
          <w:rFonts w:hint="eastAsia" w:ascii="仿宋_GB2312" w:hAnsi="仿宋_GB2312" w:eastAsia="仿宋_GB2312" w:cs="仿宋_GB2312"/>
          <w:color w:val="auto"/>
          <w:spacing w:val="11"/>
          <w:sz w:val="24"/>
          <w:szCs w:val="24"/>
          <w:highlight w:val="none"/>
          <w:lang w:eastAsia="zh-CN"/>
        </w:rPr>
        <w:t>鉴于互联网环境可能存在的延时等不可抗因素，竞价人应尽量在自由报价期内充分出价，在延时报价期内</w:t>
      </w:r>
      <w:r>
        <w:rPr>
          <w:rFonts w:hint="eastAsia" w:ascii="仿宋_GB2312" w:hAnsi="仿宋_GB2312" w:eastAsia="仿宋_GB2312" w:cs="仿宋_GB2312"/>
          <w:color w:val="auto"/>
          <w:spacing w:val="4"/>
          <w:sz w:val="24"/>
          <w:szCs w:val="24"/>
          <w:highlight w:val="none"/>
          <w:lang w:eastAsia="zh-CN"/>
        </w:rPr>
        <w:t>及时出价。</w:t>
      </w:r>
    </w:p>
    <w:p w14:paraId="273B7D2B">
      <w:pPr>
        <w:pStyle w:val="3"/>
        <w:kinsoku/>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(三)本次竞价采用网络电子竞价方式进行，竞价的</w:t>
      </w:r>
      <w:r>
        <w:rPr>
          <w:rFonts w:hint="eastAsia" w:ascii="仿宋_GB2312" w:hAnsi="仿宋_GB2312" w:eastAsia="仿宋_GB2312" w:cs="仿宋_GB2312"/>
          <w:color w:val="auto"/>
          <w:spacing w:val="10"/>
          <w:sz w:val="24"/>
          <w:szCs w:val="24"/>
          <w:highlight w:val="none"/>
          <w:lang w:eastAsia="zh-CN"/>
        </w:rPr>
        <w:t>起止时间以交易系统的服务器时间为准。请竞价人</w:t>
      </w:r>
      <w:r>
        <w:rPr>
          <w:rFonts w:hint="eastAsia" w:ascii="仿宋_GB2312" w:hAnsi="仿宋_GB2312" w:eastAsia="仿宋_GB2312" w:cs="仿宋_GB2312"/>
          <w:color w:val="auto"/>
          <w:spacing w:val="7"/>
          <w:sz w:val="24"/>
          <w:szCs w:val="24"/>
          <w:highlight w:val="none"/>
          <w:lang w:eastAsia="zh-CN"/>
        </w:rPr>
        <w:t>根据竞价人操作手册了解并熟知该场竞价会的相关流程。</w:t>
      </w:r>
    </w:p>
    <w:p w14:paraId="303D9A3D">
      <w:pPr>
        <w:pStyle w:val="3"/>
        <w:kinsoku/>
        <w:autoSpaceDE/>
        <w:autoSpaceDN/>
        <w:spacing w:before="0" w:line="440" w:lineRule="exact"/>
        <w:ind w:left="0" w:leftChars="0" w:right="0" w:rightChars="0" w:firstLine="494" w:firstLineChars="200"/>
        <w:jc w:val="both"/>
        <w:outlineLvl w:val="4"/>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3"/>
          <w:sz w:val="24"/>
          <w:szCs w:val="24"/>
          <w:highlight w:val="none"/>
          <w:lang w:eastAsia="zh-CN"/>
        </w:rPr>
        <w:t>1.竞价顺序</w:t>
      </w:r>
    </w:p>
    <w:p w14:paraId="4652D1CE">
      <w:pPr>
        <w:pStyle w:val="3"/>
        <w:kinsoku/>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本次竞价共为</w:t>
      </w:r>
      <w:r>
        <w:rPr>
          <w:rFonts w:hint="eastAsia" w:ascii="仿宋_GB2312" w:hAnsi="仿宋_GB2312" w:eastAsia="仿宋_GB2312" w:cs="仿宋_GB2312"/>
          <w:color w:val="auto"/>
          <w:spacing w:val="10"/>
          <w:sz w:val="24"/>
          <w:szCs w:val="24"/>
          <w:highlight w:val="none"/>
          <w:lang w:val="en-US" w:eastAsia="zh-CN"/>
        </w:rPr>
        <w:t>5</w:t>
      </w:r>
      <w:r>
        <w:rPr>
          <w:rFonts w:hint="eastAsia" w:ascii="仿宋_GB2312" w:hAnsi="仿宋_GB2312" w:eastAsia="仿宋_GB2312" w:cs="仿宋_GB2312"/>
          <w:color w:val="auto"/>
          <w:spacing w:val="10"/>
          <w:sz w:val="24"/>
          <w:szCs w:val="24"/>
          <w:highlight w:val="none"/>
          <w:lang w:eastAsia="zh-CN"/>
        </w:rPr>
        <w:t>个标的(详见竞价清单)，甲方将在信息公告发布前设置好所有委托标</w:t>
      </w:r>
      <w:r>
        <w:rPr>
          <w:rFonts w:hint="eastAsia" w:ascii="仿宋_GB2312" w:hAnsi="仿宋_GB2312" w:eastAsia="仿宋_GB2312" w:cs="仿宋_GB2312"/>
          <w:color w:val="auto"/>
          <w:spacing w:val="9"/>
          <w:sz w:val="24"/>
          <w:szCs w:val="24"/>
          <w:highlight w:val="none"/>
          <w:lang w:eastAsia="zh-CN"/>
        </w:rPr>
        <w:t>的的竞价开始时</w:t>
      </w:r>
      <w:r>
        <w:rPr>
          <w:rFonts w:hint="eastAsia" w:ascii="仿宋_GB2312" w:hAnsi="仿宋_GB2312" w:eastAsia="仿宋_GB2312" w:cs="仿宋_GB2312"/>
          <w:color w:val="auto"/>
          <w:spacing w:val="11"/>
          <w:sz w:val="24"/>
          <w:szCs w:val="24"/>
          <w:highlight w:val="none"/>
          <w:lang w:eastAsia="zh-CN"/>
        </w:rPr>
        <w:t>间、延时报价开始时间，所有标的将按设置好的</w:t>
      </w:r>
      <w:r>
        <w:rPr>
          <w:rFonts w:hint="eastAsia" w:ascii="仿宋_GB2312" w:hAnsi="仿宋_GB2312" w:eastAsia="仿宋_GB2312" w:cs="仿宋_GB2312"/>
          <w:color w:val="auto"/>
          <w:spacing w:val="10"/>
          <w:sz w:val="24"/>
          <w:szCs w:val="24"/>
          <w:highlight w:val="none"/>
          <w:lang w:eastAsia="zh-CN"/>
        </w:rPr>
        <w:t>时间进入报价阶段。各个标的竞价时间为自由报价期加上</w:t>
      </w:r>
      <w:r>
        <w:rPr>
          <w:rFonts w:hint="eastAsia" w:ascii="仿宋_GB2312" w:hAnsi="仿宋_GB2312" w:eastAsia="仿宋_GB2312" w:cs="仿宋_GB2312"/>
          <w:color w:val="auto"/>
          <w:spacing w:val="7"/>
          <w:sz w:val="24"/>
          <w:szCs w:val="24"/>
          <w:highlight w:val="none"/>
          <w:lang w:eastAsia="zh-CN"/>
        </w:rPr>
        <w:t>延时报价开始时间。</w:t>
      </w:r>
    </w:p>
    <w:p w14:paraId="724795CA">
      <w:pPr>
        <w:pStyle w:val="3"/>
        <w:kinsoku/>
        <w:autoSpaceDE/>
        <w:autoSpaceDN/>
        <w:spacing w:before="0" w:line="440" w:lineRule="exact"/>
        <w:ind w:left="0" w:leftChars="0" w:right="0" w:rightChars="0" w:firstLine="502" w:firstLineChars="200"/>
        <w:jc w:val="both"/>
        <w:outlineLvl w:val="4"/>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2.报价时间</w:t>
      </w:r>
    </w:p>
    <w:p w14:paraId="3F4A4AF0">
      <w:pPr>
        <w:pStyle w:val="3"/>
        <w:kinsoku/>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本次竞价各个标的自由报价期开始时间以系统</w:t>
      </w:r>
      <w:r>
        <w:rPr>
          <w:rFonts w:hint="eastAsia" w:ascii="仿宋_GB2312" w:hAnsi="仿宋_GB2312" w:eastAsia="仿宋_GB2312" w:cs="仿宋_GB2312"/>
          <w:color w:val="auto"/>
          <w:spacing w:val="10"/>
          <w:sz w:val="24"/>
          <w:szCs w:val="24"/>
          <w:highlight w:val="none"/>
          <w:lang w:eastAsia="zh-CN"/>
        </w:rPr>
        <w:t>的服务器时间为准。竞价人应根据自己参与的标的竞价</w:t>
      </w:r>
      <w:r>
        <w:rPr>
          <w:rFonts w:hint="eastAsia" w:ascii="仿宋_GB2312" w:hAnsi="仿宋_GB2312" w:eastAsia="仿宋_GB2312" w:cs="仿宋_GB2312"/>
          <w:color w:val="auto"/>
          <w:spacing w:val="7"/>
          <w:sz w:val="24"/>
          <w:szCs w:val="24"/>
          <w:highlight w:val="none"/>
          <w:lang w:eastAsia="zh-CN"/>
        </w:rPr>
        <w:t>时间，提前登录交易系统，进行出价。</w:t>
      </w:r>
    </w:p>
    <w:p w14:paraId="2029AA0A">
      <w:pPr>
        <w:pStyle w:val="3"/>
        <w:kinsoku/>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各标的竞价自由报价期</w:t>
      </w:r>
      <w:r>
        <w:rPr>
          <w:rFonts w:hint="eastAsia" w:ascii="仿宋_GB2312" w:hAnsi="仿宋_GB2312" w:eastAsia="仿宋_GB2312" w:cs="仿宋_GB2312"/>
          <w:b/>
          <w:bCs/>
          <w:color w:val="auto"/>
          <w:spacing w:val="11"/>
          <w:sz w:val="24"/>
          <w:szCs w:val="24"/>
          <w:highlight w:val="none"/>
          <w:lang w:eastAsia="zh-CN"/>
        </w:rPr>
        <w:t>5分钟</w:t>
      </w:r>
      <w:r>
        <w:rPr>
          <w:rFonts w:hint="eastAsia" w:ascii="仿宋_GB2312" w:hAnsi="仿宋_GB2312" w:eastAsia="仿宋_GB2312" w:cs="仿宋_GB2312"/>
          <w:color w:val="auto"/>
          <w:spacing w:val="11"/>
          <w:sz w:val="24"/>
          <w:szCs w:val="24"/>
          <w:highlight w:val="none"/>
          <w:lang w:eastAsia="zh-CN"/>
        </w:rPr>
        <w:t>，自由报价结束后立即自动进入延时报价期。延时报价期可由多个延时</w:t>
      </w:r>
      <w:r>
        <w:rPr>
          <w:rFonts w:hint="eastAsia" w:ascii="仿宋_GB2312" w:hAnsi="仿宋_GB2312" w:eastAsia="仿宋_GB2312" w:cs="仿宋_GB2312"/>
          <w:color w:val="auto"/>
          <w:spacing w:val="14"/>
          <w:sz w:val="24"/>
          <w:szCs w:val="24"/>
          <w:highlight w:val="none"/>
          <w:lang w:eastAsia="zh-CN"/>
        </w:rPr>
        <w:t>报价周期组成，每个延时报价周期为</w:t>
      </w:r>
      <w:r>
        <w:rPr>
          <w:rFonts w:hint="eastAsia" w:ascii="仿宋_GB2312" w:hAnsi="仿宋_GB2312" w:eastAsia="仿宋_GB2312" w:cs="仿宋_GB2312"/>
          <w:b/>
          <w:bCs/>
          <w:color w:val="auto"/>
          <w:spacing w:val="14"/>
          <w:sz w:val="24"/>
          <w:szCs w:val="24"/>
          <w:highlight w:val="none"/>
          <w:lang w:eastAsia="zh-CN"/>
        </w:rPr>
        <w:t>2分钟</w:t>
      </w:r>
      <w:r>
        <w:rPr>
          <w:rFonts w:hint="eastAsia" w:ascii="仿宋_GB2312" w:hAnsi="仿宋_GB2312" w:eastAsia="仿宋_GB2312" w:cs="仿宋_GB2312"/>
          <w:color w:val="auto"/>
          <w:spacing w:val="14"/>
          <w:sz w:val="24"/>
          <w:szCs w:val="24"/>
          <w:highlight w:val="none"/>
          <w:lang w:eastAsia="zh-CN"/>
        </w:rPr>
        <w:t>。在一个</w:t>
      </w:r>
      <w:r>
        <w:rPr>
          <w:rFonts w:hint="eastAsia" w:ascii="仿宋_GB2312" w:hAnsi="仿宋_GB2312" w:eastAsia="仿宋_GB2312" w:cs="仿宋_GB2312"/>
          <w:color w:val="auto"/>
          <w:spacing w:val="13"/>
          <w:sz w:val="24"/>
          <w:szCs w:val="24"/>
          <w:highlight w:val="none"/>
          <w:lang w:eastAsia="zh-CN"/>
        </w:rPr>
        <w:t>延时报价周期内，如出现有效报价，则立即自动进入</w:t>
      </w:r>
      <w:r>
        <w:rPr>
          <w:rFonts w:hint="eastAsia" w:ascii="仿宋_GB2312" w:hAnsi="仿宋_GB2312" w:eastAsia="仿宋_GB2312" w:cs="仿宋_GB2312"/>
          <w:color w:val="auto"/>
          <w:spacing w:val="9"/>
          <w:sz w:val="24"/>
          <w:szCs w:val="24"/>
          <w:highlight w:val="none"/>
          <w:lang w:eastAsia="zh-CN"/>
        </w:rPr>
        <w:t>新一轮的延时报价周期；在一个延时报价周期内如未出现有效报价，则本次竞价结束。自由报价期竞价人</w:t>
      </w:r>
      <w:r>
        <w:rPr>
          <w:rFonts w:hint="eastAsia" w:ascii="仿宋_GB2312" w:hAnsi="仿宋_GB2312" w:eastAsia="仿宋_GB2312" w:cs="仿宋_GB2312"/>
          <w:color w:val="auto"/>
          <w:spacing w:val="7"/>
          <w:sz w:val="24"/>
          <w:szCs w:val="24"/>
          <w:highlight w:val="none"/>
          <w:lang w:eastAsia="zh-CN"/>
        </w:rPr>
        <w:t>可以多次报价，当竞价人为最高报价时，无法再次出价超越自己。</w:t>
      </w:r>
    </w:p>
    <w:p w14:paraId="796CF4BB">
      <w:pPr>
        <w:pStyle w:val="3"/>
        <w:kinsoku/>
        <w:autoSpaceDE/>
        <w:autoSpaceDN/>
        <w:spacing w:before="0" w:line="440" w:lineRule="exact"/>
        <w:ind w:left="0" w:leftChars="0" w:right="0" w:rightChars="0" w:firstLine="502" w:firstLineChars="200"/>
        <w:jc w:val="both"/>
        <w:outlineLvl w:val="4"/>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3.报价的有效性</w:t>
      </w:r>
    </w:p>
    <w:p w14:paraId="63F5A57D">
      <w:pPr>
        <w:pStyle w:val="3"/>
        <w:kinsoku/>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竞价会的首个报价只需不低于标的底价即为有效。</w:t>
      </w:r>
    </w:p>
    <w:p w14:paraId="61DA9A7A">
      <w:pPr>
        <w:pStyle w:val="3"/>
        <w:kinsoku/>
        <w:autoSpaceDE/>
        <w:autoSpaceDN/>
        <w:spacing w:before="0" w:line="440" w:lineRule="exact"/>
        <w:ind w:left="0" w:leftChars="0" w:right="0" w:rightChars="0" w:firstLine="528" w:firstLineChars="200"/>
        <w:jc w:val="both"/>
        <w:rPr>
          <w:rFonts w:hint="eastAsia" w:ascii="仿宋_GB2312" w:hAnsi="仿宋_GB2312" w:eastAsia="仿宋_GB2312" w:cs="仿宋_GB2312"/>
          <w:color w:val="auto"/>
          <w:spacing w:val="9"/>
          <w:sz w:val="24"/>
          <w:szCs w:val="24"/>
          <w:highlight w:val="none"/>
          <w:lang w:eastAsia="zh-CN"/>
        </w:rPr>
      </w:pPr>
      <w:r>
        <w:rPr>
          <w:rFonts w:hint="eastAsia" w:ascii="仿宋_GB2312" w:hAnsi="仿宋_GB2312" w:eastAsia="仿宋_GB2312" w:cs="仿宋_GB2312"/>
          <w:color w:val="auto"/>
          <w:spacing w:val="12"/>
          <w:sz w:val="24"/>
          <w:szCs w:val="24"/>
          <w:highlight w:val="none"/>
          <w:lang w:eastAsia="zh-CN"/>
        </w:rPr>
        <w:t>第二个报价起，以人民币</w:t>
      </w:r>
      <w:r>
        <w:rPr>
          <w:rFonts w:hint="eastAsia" w:ascii="仿宋_GB2312" w:hAnsi="仿宋_GB2312" w:eastAsia="仿宋_GB2312" w:cs="仿宋_GB2312"/>
          <w:color w:val="auto"/>
          <w:spacing w:val="12"/>
          <w:sz w:val="24"/>
          <w:szCs w:val="24"/>
          <w:highlight w:val="none"/>
          <w:u w:val="single"/>
          <w:lang w:eastAsia="zh-CN"/>
        </w:rPr>
        <w:t>元/月</w:t>
      </w:r>
      <w:r>
        <w:rPr>
          <w:rFonts w:hint="eastAsia" w:ascii="仿宋_GB2312" w:hAnsi="仿宋_GB2312" w:eastAsia="仿宋_GB2312" w:cs="仿宋_GB2312"/>
          <w:color w:val="auto"/>
          <w:spacing w:val="12"/>
          <w:sz w:val="24"/>
          <w:szCs w:val="24"/>
          <w:highlight w:val="none"/>
          <w:lang w:eastAsia="zh-CN"/>
        </w:rPr>
        <w:t>（具体以竞价系</w:t>
      </w:r>
      <w:r>
        <w:rPr>
          <w:rFonts w:hint="eastAsia" w:ascii="仿宋_GB2312" w:hAnsi="仿宋_GB2312" w:eastAsia="仿宋_GB2312" w:cs="仿宋_GB2312"/>
          <w:color w:val="auto"/>
          <w:spacing w:val="11"/>
          <w:sz w:val="24"/>
          <w:szCs w:val="24"/>
          <w:highlight w:val="none"/>
          <w:lang w:eastAsia="zh-CN"/>
        </w:rPr>
        <w:t>统显示为准）为基本报价单位，报价中含有基本报价</w:t>
      </w:r>
      <w:r>
        <w:rPr>
          <w:rFonts w:hint="eastAsia" w:ascii="仿宋_GB2312" w:hAnsi="仿宋_GB2312" w:eastAsia="仿宋_GB2312" w:cs="仿宋_GB2312"/>
          <w:color w:val="auto"/>
          <w:spacing w:val="9"/>
          <w:sz w:val="24"/>
          <w:szCs w:val="24"/>
          <w:highlight w:val="none"/>
          <w:lang w:eastAsia="zh-CN"/>
        </w:rPr>
        <w:t>单位以下金额的，系统将自动舍去基本报价单位以下的金额为有效报价。</w:t>
      </w:r>
    </w:p>
    <w:p w14:paraId="1A653402">
      <w:pPr>
        <w:pStyle w:val="3"/>
        <w:kinsoku/>
        <w:autoSpaceDE/>
        <w:autoSpaceDN/>
        <w:spacing w:before="0" w:line="440" w:lineRule="exact"/>
        <w:ind w:left="0" w:leftChars="0" w:right="0" w:rightChars="0" w:firstLine="53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4"/>
          <w:sz w:val="24"/>
          <w:szCs w:val="24"/>
          <w:highlight w:val="none"/>
          <w:lang w:eastAsia="zh-CN"/>
        </w:rPr>
        <w:t>第二个报价起，每次报价不得低于当前最高有效报价</w:t>
      </w:r>
      <w:r>
        <w:rPr>
          <w:rFonts w:hint="eastAsia" w:ascii="仿宋_GB2312" w:hAnsi="仿宋_GB2312" w:eastAsia="仿宋_GB2312" w:cs="仿宋_GB2312"/>
          <w:color w:val="auto"/>
          <w:spacing w:val="13"/>
          <w:sz w:val="24"/>
          <w:szCs w:val="24"/>
          <w:highlight w:val="none"/>
          <w:lang w:eastAsia="zh-CN"/>
        </w:rPr>
        <w:t>加上系统设定的最低加价幅度(详见本协议书附</w:t>
      </w:r>
      <w:r>
        <w:rPr>
          <w:rFonts w:hint="eastAsia" w:ascii="仿宋_GB2312" w:hAnsi="仿宋_GB2312" w:eastAsia="仿宋_GB2312" w:cs="仿宋_GB2312"/>
          <w:color w:val="auto"/>
          <w:spacing w:val="8"/>
          <w:sz w:val="24"/>
          <w:szCs w:val="24"/>
          <w:highlight w:val="none"/>
          <w:lang w:eastAsia="zh-CN"/>
        </w:rPr>
        <w:t>件《竞价清单》)，不限最高报价。当竞价人为最高报价时，无法再次出价超越自己。</w:t>
      </w:r>
    </w:p>
    <w:p w14:paraId="3788E39B">
      <w:pPr>
        <w:pStyle w:val="3"/>
        <w:kinsoku/>
        <w:autoSpaceDE/>
        <w:autoSpaceDN/>
        <w:spacing w:before="0" w:line="440" w:lineRule="exact"/>
        <w:ind w:left="0" w:leftChars="0" w:right="0" w:rightChars="0" w:firstLine="506" w:firstLineChars="200"/>
        <w:jc w:val="both"/>
        <w:outlineLvl w:val="4"/>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4.竞得人的确定</w:t>
      </w:r>
    </w:p>
    <w:p w14:paraId="1990719A">
      <w:pPr>
        <w:pStyle w:val="3"/>
        <w:kinsoku/>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竞价会各项标的竞价结束时的最高有效报价被认定为中标价，该竞价人也被认定为该项标的的竞得人。报价一经确认提交，不可修改或撤销，竞价人应对自己的报价行为负责，一经报价即为有效，不得</w:t>
      </w:r>
      <w:r>
        <w:rPr>
          <w:rFonts w:hint="eastAsia" w:ascii="仿宋_GB2312" w:hAnsi="仿宋_GB2312" w:eastAsia="仿宋_GB2312" w:cs="仿宋_GB2312"/>
          <w:color w:val="auto"/>
          <w:spacing w:val="9"/>
          <w:sz w:val="24"/>
          <w:szCs w:val="24"/>
          <w:highlight w:val="none"/>
          <w:lang w:eastAsia="zh-CN"/>
        </w:rPr>
        <w:t>以任何理由对抗自己报价的法律效果。各竞价人应谨慎思考，合理报价。</w:t>
      </w:r>
    </w:p>
    <w:p w14:paraId="5562CE93">
      <w:pPr>
        <w:pStyle w:val="3"/>
        <w:kinsoku/>
        <w:autoSpaceDE/>
        <w:autoSpaceDN/>
        <w:spacing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七、特别约定与网络竞价风险提示</w:t>
      </w:r>
    </w:p>
    <w:p w14:paraId="4A9BCEFE">
      <w:pPr>
        <w:pStyle w:val="3"/>
        <w:kinsoku/>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(一)如在报名期间内办理该项标的竞价登记的竞价</w:t>
      </w:r>
      <w:r>
        <w:rPr>
          <w:rFonts w:hint="eastAsia" w:ascii="仿宋_GB2312" w:hAnsi="仿宋_GB2312" w:eastAsia="仿宋_GB2312" w:cs="仿宋_GB2312"/>
          <w:color w:val="auto"/>
          <w:spacing w:val="10"/>
          <w:sz w:val="24"/>
          <w:szCs w:val="24"/>
          <w:highlight w:val="none"/>
          <w:lang w:eastAsia="zh-CN"/>
        </w:rPr>
        <w:t>人仅有一人，交易实施主体同意以标的底价成交，且竞出</w:t>
      </w:r>
      <w:r>
        <w:rPr>
          <w:rFonts w:hint="eastAsia" w:ascii="仿宋_GB2312" w:hAnsi="仿宋_GB2312" w:eastAsia="仿宋_GB2312" w:cs="仿宋_GB2312"/>
          <w:color w:val="auto"/>
          <w:spacing w:val="11"/>
          <w:sz w:val="24"/>
          <w:szCs w:val="24"/>
          <w:highlight w:val="none"/>
          <w:lang w:eastAsia="zh-CN"/>
        </w:rPr>
        <w:t>价格不低于标的底价，该竞价自动中标；如在竞价期间内无人在底价之上(含底价)出价，则本轮竞价活动</w:t>
      </w:r>
      <w:r>
        <w:rPr>
          <w:rFonts w:hint="eastAsia" w:ascii="仿宋_GB2312" w:hAnsi="仿宋_GB2312" w:eastAsia="仿宋_GB2312" w:cs="仿宋_GB2312"/>
          <w:color w:val="auto"/>
          <w:spacing w:val="4"/>
          <w:sz w:val="24"/>
          <w:szCs w:val="24"/>
          <w:highlight w:val="none"/>
          <w:lang w:eastAsia="zh-CN"/>
        </w:rPr>
        <w:t>自动终止。</w:t>
      </w:r>
    </w:p>
    <w:p w14:paraId="5660CE33">
      <w:pPr>
        <w:pStyle w:val="3"/>
        <w:kinsoku/>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(二)发生下列情形之一的，主持人有权中止、终结竞价活动</w:t>
      </w:r>
      <w:r>
        <w:rPr>
          <w:rFonts w:hint="eastAsia" w:ascii="仿宋_GB2312" w:hAnsi="仿宋_GB2312" w:eastAsia="仿宋_GB2312" w:cs="仿宋_GB2312"/>
          <w:color w:val="auto"/>
          <w:spacing w:val="8"/>
          <w:sz w:val="24"/>
          <w:szCs w:val="24"/>
          <w:highlight w:val="none"/>
          <w:lang w:eastAsia="zh-CN"/>
        </w:rPr>
        <w:t>或在竞价活动结束后宣布结果为无效:</w:t>
      </w:r>
    </w:p>
    <w:p w14:paraId="5AD351E4">
      <w:pPr>
        <w:pStyle w:val="3"/>
        <w:kinsoku/>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1.系统服务器所处互联网络或中心网络出现故障的；</w:t>
      </w:r>
    </w:p>
    <w:p w14:paraId="77F99016">
      <w:pPr>
        <w:pStyle w:val="3"/>
        <w:kinsoku/>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2.系统服务器硬件或软件等出现故障的；</w:t>
      </w:r>
    </w:p>
    <w:p w14:paraId="3C198A4A">
      <w:pPr>
        <w:pStyle w:val="3"/>
        <w:kinsoku/>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3.包括但不限于标的权属不符、标的性状改变等原因而使竞价活动产生争议的；</w:t>
      </w:r>
    </w:p>
    <w:p w14:paraId="3ADAFABF">
      <w:pPr>
        <w:pStyle w:val="3"/>
        <w:kinsoku/>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4.发现竞价标的存在违反法律法规、政府规章规定不得转让或应当中止转让的或发现竞价人竞价存在</w:t>
      </w:r>
      <w:r>
        <w:rPr>
          <w:rFonts w:hint="eastAsia" w:ascii="仿宋_GB2312" w:hAnsi="仿宋_GB2312" w:eastAsia="仿宋_GB2312" w:cs="仿宋_GB2312"/>
          <w:color w:val="auto"/>
          <w:spacing w:val="9"/>
          <w:sz w:val="24"/>
          <w:szCs w:val="24"/>
          <w:highlight w:val="none"/>
          <w:lang w:eastAsia="zh-CN"/>
        </w:rPr>
        <w:t>违法或违规情形可能会影响到竞价活动的公开、公平、公正进行的；</w:t>
      </w:r>
    </w:p>
    <w:p w14:paraId="7DD23E42">
      <w:pPr>
        <w:pStyle w:val="3"/>
        <w:kinsoku/>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5.其它甲方认为需要中止或终结竞价活动的情形。</w:t>
      </w:r>
    </w:p>
    <w:p w14:paraId="05AB781F">
      <w:pPr>
        <w:pStyle w:val="3"/>
        <w:kinsoku/>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竞价活动中止、终结或竞价结果为无效的，甲方可择期在交易系统重新竞价或者按其它公开、公平、</w:t>
      </w:r>
      <w:r>
        <w:rPr>
          <w:rFonts w:hint="eastAsia" w:ascii="仿宋_GB2312" w:hAnsi="仿宋_GB2312" w:eastAsia="仿宋_GB2312" w:cs="仿宋_GB2312"/>
          <w:color w:val="auto"/>
          <w:spacing w:val="8"/>
          <w:sz w:val="24"/>
          <w:szCs w:val="24"/>
          <w:highlight w:val="none"/>
          <w:lang w:eastAsia="zh-CN"/>
        </w:rPr>
        <w:t>公正的方式重新竞价，相关事宜将另行通知各竞价人。</w:t>
      </w:r>
    </w:p>
    <w:p w14:paraId="1E2BE068">
      <w:pPr>
        <w:pStyle w:val="3"/>
        <w:kinsoku/>
        <w:autoSpaceDE/>
        <w:autoSpaceDN/>
        <w:spacing w:before="0" w:line="440" w:lineRule="exact"/>
        <w:ind w:left="0" w:leftChars="0" w:right="0" w:rightChars="0" w:firstLine="50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6"/>
          <w:sz w:val="24"/>
          <w:szCs w:val="24"/>
          <w:highlight w:val="none"/>
          <w:lang w:eastAsia="zh-CN"/>
        </w:rPr>
        <w:t>(三)因竞价人如下行为产生的一切后果，甲方不承担任何责任:</w:t>
      </w:r>
    </w:p>
    <w:p w14:paraId="144CB087">
      <w:pPr>
        <w:pStyle w:val="3"/>
        <w:kinsoku/>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1.未提前完成</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9"/>
          <w:sz w:val="24"/>
          <w:szCs w:val="24"/>
          <w:highlight w:val="none"/>
          <w:lang w:eastAsia="zh-CN"/>
        </w:rPr>
        <w:t>数字证书或个人标识证书的办理，导致错过报名</w:t>
      </w:r>
      <w:r>
        <w:rPr>
          <w:rFonts w:hint="eastAsia" w:ascii="仿宋_GB2312" w:hAnsi="仿宋_GB2312" w:eastAsia="仿宋_GB2312" w:cs="仿宋_GB2312"/>
          <w:color w:val="auto"/>
          <w:spacing w:val="8"/>
          <w:sz w:val="24"/>
          <w:szCs w:val="24"/>
          <w:highlight w:val="none"/>
          <w:lang w:eastAsia="zh-CN"/>
        </w:rPr>
        <w:t>时间；</w:t>
      </w:r>
    </w:p>
    <w:p w14:paraId="5D1CEE1A">
      <w:pPr>
        <w:pStyle w:val="3"/>
        <w:kinsoku/>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2.所提交的信息不真实、不准确或不完整的；</w:t>
      </w:r>
    </w:p>
    <w:p w14:paraId="39E74B17">
      <w:pPr>
        <w:pStyle w:val="3"/>
        <w:kinsoku/>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3.未及时关注甲方、交易实施主体发布的竞价活动相关的公告，未及时登录系统参加竞价的；</w:t>
      </w:r>
    </w:p>
    <w:p w14:paraId="79387D8E">
      <w:pPr>
        <w:pStyle w:val="3"/>
        <w:kinsoku/>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4.竞价人因以下原因未能登录系统参加竞价的:</w:t>
      </w:r>
    </w:p>
    <w:p w14:paraId="0735A661">
      <w:pPr>
        <w:pStyle w:val="3"/>
        <w:kinsoku/>
        <w:autoSpaceDE/>
        <w:autoSpaceDN/>
        <w:spacing w:before="0" w:line="440" w:lineRule="exact"/>
        <w:ind w:left="0" w:leftChars="0" w:right="0" w:rightChars="0" w:firstLine="50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6"/>
          <w:sz w:val="24"/>
          <w:szCs w:val="24"/>
          <w:highlight w:val="none"/>
          <w:lang w:eastAsia="zh-CN"/>
        </w:rPr>
        <w:t>(1)自身报价终端设备故障和互联网络异常；</w:t>
      </w:r>
    </w:p>
    <w:p w14:paraId="303C7908">
      <w:pPr>
        <w:pStyle w:val="3"/>
        <w:kinsoku/>
        <w:autoSpaceDE/>
        <w:autoSpaceDN/>
        <w:spacing w:before="0" w:line="440" w:lineRule="exact"/>
        <w:ind w:left="0" w:leftChars="0" w:right="0" w:rightChars="0" w:firstLine="49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4"/>
          <w:sz w:val="24"/>
          <w:szCs w:val="24"/>
          <w:highlight w:val="none"/>
          <w:lang w:eastAsia="zh-CN"/>
        </w:rPr>
        <w:t>(2)自身通信设备故障；</w:t>
      </w:r>
    </w:p>
    <w:p w14:paraId="1AFBFEAD">
      <w:pPr>
        <w:pStyle w:val="3"/>
        <w:kinsoku/>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(3)竞价人自身终端设备时间与竞价系统服务器不符的(竞价活动的时间以竞价系统服务器时间为准)。</w:t>
      </w:r>
    </w:p>
    <w:p w14:paraId="5065F35C">
      <w:pPr>
        <w:pStyle w:val="3"/>
        <w:kinsoku/>
        <w:autoSpaceDE/>
        <w:autoSpaceDN/>
        <w:spacing w:before="0" w:line="440" w:lineRule="exact"/>
        <w:ind w:left="0" w:leftChars="0" w:right="0" w:rightChars="0" w:firstLine="49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3"/>
          <w:sz w:val="24"/>
          <w:szCs w:val="24"/>
          <w:highlight w:val="none"/>
          <w:lang w:eastAsia="zh-CN"/>
        </w:rPr>
        <w:t>(四)网上竞价风险：</w:t>
      </w:r>
    </w:p>
    <w:p w14:paraId="7235F952">
      <w:pPr>
        <w:pStyle w:val="3"/>
        <w:kinsoku/>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1.互联网是全球公共网络，并不受任何一个机构所控</w:t>
      </w:r>
      <w:r>
        <w:rPr>
          <w:rFonts w:hint="eastAsia" w:ascii="仿宋_GB2312" w:hAnsi="仿宋_GB2312" w:eastAsia="仿宋_GB2312" w:cs="仿宋_GB2312"/>
          <w:color w:val="auto"/>
          <w:spacing w:val="8"/>
          <w:sz w:val="24"/>
          <w:szCs w:val="24"/>
          <w:highlight w:val="none"/>
          <w:lang w:eastAsia="zh-CN"/>
        </w:rPr>
        <w:t>制。数据在互联网上传输的途径不是完全确定的。互联网本身并不是绝对安全可靠的环境；</w:t>
      </w:r>
    </w:p>
    <w:p w14:paraId="1BAAA405">
      <w:pPr>
        <w:pStyle w:val="3"/>
        <w:kinsoku/>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2.在互联网上传输的数据有可能被某些个人、团体或机构通过某种渠</w:t>
      </w:r>
      <w:r>
        <w:rPr>
          <w:rFonts w:hint="eastAsia" w:ascii="仿宋_GB2312" w:hAnsi="仿宋_GB2312" w:eastAsia="仿宋_GB2312" w:cs="仿宋_GB2312"/>
          <w:color w:val="auto"/>
          <w:spacing w:val="7"/>
          <w:sz w:val="24"/>
          <w:szCs w:val="24"/>
          <w:highlight w:val="none"/>
          <w:lang w:eastAsia="zh-CN"/>
        </w:rPr>
        <w:t>道获得；</w:t>
      </w:r>
    </w:p>
    <w:p w14:paraId="7C631693">
      <w:pPr>
        <w:pStyle w:val="3"/>
        <w:kinsoku/>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3.互联网上的数据传输可能因通信繁忙出现延迟，或因其他原因出现停顿、中断或数据不完全、数据</w:t>
      </w:r>
      <w:r>
        <w:rPr>
          <w:rFonts w:hint="eastAsia" w:ascii="仿宋_GB2312" w:hAnsi="仿宋_GB2312" w:eastAsia="仿宋_GB2312" w:cs="仿宋_GB2312"/>
          <w:color w:val="auto"/>
          <w:spacing w:val="9"/>
          <w:sz w:val="24"/>
          <w:szCs w:val="24"/>
          <w:highlight w:val="none"/>
          <w:lang w:eastAsia="zh-CN"/>
        </w:rPr>
        <w:t>错误等情况，从而使系统服务出现延迟、停顿或中</w:t>
      </w:r>
      <w:r>
        <w:rPr>
          <w:rFonts w:hint="eastAsia" w:ascii="仿宋_GB2312" w:hAnsi="仿宋_GB2312" w:eastAsia="仿宋_GB2312" w:cs="仿宋_GB2312"/>
          <w:color w:val="auto"/>
          <w:spacing w:val="8"/>
          <w:sz w:val="24"/>
          <w:szCs w:val="24"/>
          <w:highlight w:val="none"/>
          <w:lang w:eastAsia="zh-CN"/>
        </w:rPr>
        <w:t>断；</w:t>
      </w:r>
    </w:p>
    <w:p w14:paraId="0065FF8A">
      <w:pPr>
        <w:pStyle w:val="3"/>
        <w:kinsoku/>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4.互联网上发布的各种信息可能出现错误；</w:t>
      </w:r>
    </w:p>
    <w:p w14:paraId="6409079B">
      <w:pPr>
        <w:pStyle w:val="3"/>
        <w:kinsoku/>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5.竞价人在系统上身份可能会被仿冒。网上竞价人自身计算机性能、质量、病毒、故障及其他原因，可能会影响响应时间或数据，给甲方和交易实施主体</w:t>
      </w:r>
      <w:r>
        <w:rPr>
          <w:rFonts w:hint="eastAsia" w:ascii="仿宋_GB2312" w:hAnsi="仿宋_GB2312" w:eastAsia="仿宋_GB2312" w:cs="仿宋_GB2312"/>
          <w:color w:val="auto"/>
          <w:spacing w:val="8"/>
          <w:sz w:val="24"/>
          <w:szCs w:val="24"/>
          <w:highlight w:val="none"/>
          <w:lang w:eastAsia="zh-CN"/>
        </w:rPr>
        <w:t>带来损失；</w:t>
      </w:r>
    </w:p>
    <w:p w14:paraId="4975A12C">
      <w:pPr>
        <w:pStyle w:val="3"/>
        <w:kinsoku/>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6.竞价人自身计算机应用操作能力及互联网知识的缺乏带来损失；</w:t>
      </w:r>
    </w:p>
    <w:p w14:paraId="40B4F15F">
      <w:pPr>
        <w:pStyle w:val="3"/>
        <w:kinsoku/>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7.竞价人自身的疏忽造成证书密码泄漏，可能会给本人及甲方造成损</w:t>
      </w:r>
      <w:r>
        <w:rPr>
          <w:rFonts w:hint="eastAsia" w:ascii="仿宋_GB2312" w:hAnsi="仿宋_GB2312" w:eastAsia="仿宋_GB2312" w:cs="仿宋_GB2312"/>
          <w:color w:val="auto"/>
          <w:spacing w:val="8"/>
          <w:sz w:val="24"/>
          <w:szCs w:val="24"/>
          <w:highlight w:val="none"/>
          <w:lang w:eastAsia="zh-CN"/>
        </w:rPr>
        <w:t>失；</w:t>
      </w:r>
    </w:p>
    <w:p w14:paraId="789CA1ED">
      <w:pPr>
        <w:pStyle w:val="3"/>
        <w:kinsoku/>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8.竞价人必须充分估计上述原因导致网上出价不同所带来的风险，如果发生上述情况以及本人操作差</w:t>
      </w:r>
      <w:r>
        <w:rPr>
          <w:rFonts w:hint="eastAsia" w:ascii="仿宋_GB2312" w:hAnsi="仿宋_GB2312" w:eastAsia="仿宋_GB2312" w:cs="仿宋_GB2312"/>
          <w:color w:val="auto"/>
          <w:spacing w:val="7"/>
          <w:sz w:val="24"/>
          <w:szCs w:val="24"/>
          <w:highlight w:val="none"/>
          <w:lang w:eastAsia="zh-CN"/>
        </w:rPr>
        <w:t>错所造成的损失由竞价人承担，甲方不负有</w:t>
      </w:r>
      <w:r>
        <w:rPr>
          <w:rFonts w:hint="eastAsia" w:ascii="仿宋_GB2312" w:hAnsi="仿宋_GB2312" w:eastAsia="仿宋_GB2312" w:cs="仿宋_GB2312"/>
          <w:color w:val="auto"/>
          <w:spacing w:val="6"/>
          <w:sz w:val="24"/>
          <w:szCs w:val="24"/>
          <w:highlight w:val="none"/>
          <w:lang w:eastAsia="zh-CN"/>
        </w:rPr>
        <w:t>任何责任。</w:t>
      </w:r>
    </w:p>
    <w:p w14:paraId="2BFCE7D3">
      <w:pPr>
        <w:pStyle w:val="3"/>
        <w:kinsoku/>
        <w:autoSpaceDE/>
        <w:autoSpaceDN/>
        <w:spacing w:before="0"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八、成交价款、竞价佣金</w:t>
      </w:r>
    </w:p>
    <w:p w14:paraId="205664B1">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(一)竞价成交后，甲方、乙方及</w:t>
      </w:r>
      <w:r>
        <w:rPr>
          <w:rFonts w:hint="eastAsia" w:ascii="仿宋_GB2312" w:hAnsi="仿宋_GB2312" w:eastAsia="仿宋_GB2312" w:cs="仿宋_GB2312"/>
          <w:color w:val="auto"/>
          <w:spacing w:val="9"/>
          <w:sz w:val="24"/>
          <w:szCs w:val="24"/>
          <w:highlight w:val="none"/>
          <w:lang w:eastAsia="zh-CN"/>
        </w:rPr>
        <w:t>交易实施主体</w:t>
      </w:r>
      <w:r>
        <w:rPr>
          <w:rFonts w:hint="eastAsia" w:ascii="仿宋_GB2312" w:hAnsi="仿宋_GB2312" w:eastAsia="仿宋_GB2312" w:cs="仿宋_GB2312"/>
          <w:color w:val="auto"/>
          <w:sz w:val="24"/>
          <w:szCs w:val="24"/>
          <w:highlight w:val="none"/>
          <w:lang w:eastAsia="zh-CN"/>
        </w:rPr>
        <w:t>依次在交易系统线上进行《成交结果确认书》的签章。竞价结果公示期满无异议后，在《成交结果确认书》约定的期限内各方签署《房屋租赁合同》，</w:t>
      </w:r>
      <w:r>
        <w:rPr>
          <w:rFonts w:hint="eastAsia" w:ascii="仿宋_GB2312" w:hAnsi="仿宋_GB2312" w:eastAsia="仿宋_GB2312" w:cs="仿宋_GB2312"/>
          <w:b/>
          <w:bCs/>
          <w:color w:val="auto"/>
          <w:sz w:val="24"/>
          <w:szCs w:val="24"/>
          <w:highlight w:val="none"/>
          <w:u w:val="none"/>
          <w:lang w:eastAsia="zh-CN"/>
        </w:rPr>
        <w:t>有优先承租权人的标的如由非优先承租权人竞得，房屋按腾退后的现状交付使用，如出租方未能在40天内(自竞得人确认公示之日起)组织签订租赁合同，竞得人必须放弃标的房屋的承租权，且竞得人不得向出租方和甲方有任何权益主张。</w:t>
      </w:r>
    </w:p>
    <w:p w14:paraId="2D61A861">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(二)竞价佣金：竞价成交后，按每项标的成交总额(承租年数租金总额)，以下标准累进计算</w:t>
      </w:r>
      <w:r>
        <w:rPr>
          <w:rFonts w:hint="eastAsia" w:ascii="仿宋_GB2312" w:hAnsi="仿宋_GB2312" w:eastAsia="仿宋_GB2312" w:cs="仿宋_GB2312"/>
          <w:color w:val="auto"/>
          <w:sz w:val="24"/>
          <w:szCs w:val="24"/>
          <w:highlight w:val="none"/>
          <w:lang w:val="en-US" w:eastAsia="zh-CN"/>
        </w:rPr>
        <w:t>相加得出</w:t>
      </w:r>
      <w:r>
        <w:rPr>
          <w:rFonts w:hint="eastAsia" w:ascii="仿宋_GB2312" w:hAnsi="仿宋_GB2312" w:eastAsia="仿宋_GB2312" w:cs="仿宋_GB2312"/>
          <w:color w:val="auto"/>
          <w:sz w:val="24"/>
          <w:szCs w:val="24"/>
          <w:highlight w:val="none"/>
          <w:lang w:eastAsia="zh-CN"/>
        </w:rPr>
        <w:t>竞价佣金：标的成交总额在100万元以下部分，收取1%；超过100万元至500万元(含)的部分，收取0.25%；超过500万元至1000万元(含)的部分，收取0.2%；超过1000万元至5000万元(含)的部分，收取0.025%；超过5000万元的部分，收取0.02%。</w:t>
      </w:r>
    </w:p>
    <w:p w14:paraId="16854F0F">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竞得人须在成交结果公示结束后三个工作日内向甲方支付竞价佣金，未能及时支付竞价佣金的，甲方有权从竞价保证金/履约保证金中直接抵扣佣金、违约金、损失。</w:t>
      </w:r>
    </w:p>
    <w:p w14:paraId="1336A04F">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甲方指定以下账户收取竞价佣金：</w:t>
      </w:r>
    </w:p>
    <w:p w14:paraId="31B0B078">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户名：厦门市旧城保护开发有限公司；</w:t>
      </w:r>
    </w:p>
    <w:p w14:paraId="626EC728">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账号：35150198140100000678</w:t>
      </w:r>
    </w:p>
    <w:p w14:paraId="4EDB2205">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开户行：建行中山支行</w:t>
      </w:r>
    </w:p>
    <w:p w14:paraId="47B50783">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(三)付款期限：竞价成交后，竞得人须按本协议及《房屋租赁合同》约定支付成交标的价款及佣金。</w:t>
      </w:r>
    </w:p>
    <w:p w14:paraId="06EE036F">
      <w:pPr>
        <w:pStyle w:val="3"/>
        <w:kinsoku/>
        <w:autoSpaceDE/>
        <w:autoSpaceDN/>
        <w:spacing w:before="0"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九、竞价标的的交付与转移</w:t>
      </w:r>
    </w:p>
    <w:p w14:paraId="740680CE">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一)竞价成交，竞得人在《成交结果确认书》约定的期限内与交易实施主体签订《房屋租赁合同》后，按《房屋租赁合同》条款约定办理标的移交手续。竞得人因装修和使用租赁物而产生的全部税、费由竞得人自行承担，包括但不限于：水费、电费、煤气/燃气、通讯/网络、有线电视、空调费、公共维修金、垃圾处理费、公摊水电费、热水、停车费(若有)等费用及与竞得人经营有关的其他全部税、费。因国家政策调整而不可预见的税费等一律由竞得人承担。</w:t>
      </w:r>
    </w:p>
    <w:p w14:paraId="3888439E">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(二)乙方若要求水、电、空调、通讯等公用事业供应扩容，须事先征得交易实施主体同意，并报有关部门批准后方可实施扩容工程，因此发生的全部费用(包括甲方配合乙方进行管线调整等)及风险由乙方承担。</w:t>
      </w:r>
    </w:p>
    <w:p w14:paraId="5E96C3B6">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(三)签约时间及合同生效时间：</w:t>
      </w:r>
    </w:p>
    <w:p w14:paraId="58DF099D">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1</w:t>
      </w:r>
      <w:r>
        <w:rPr>
          <w:rFonts w:hint="eastAsia"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eastAsia="zh-CN"/>
        </w:rPr>
        <w:t>本批次合同拟生效时间2026年</w:t>
      </w:r>
      <w:r>
        <w:rPr>
          <w:rFonts w:hint="eastAsia" w:ascii="仿宋_GB2312" w:hAnsi="仿宋_GB2312" w:eastAsia="仿宋_GB2312" w:cs="仿宋_GB2312"/>
          <w:color w:val="auto"/>
          <w:sz w:val="24"/>
          <w:szCs w:val="24"/>
          <w:highlight w:val="none"/>
          <w:lang w:val="en-US" w:eastAsia="zh-CN"/>
        </w:rPr>
        <w:t>11</w:t>
      </w:r>
      <w:r>
        <w:rPr>
          <w:rFonts w:hint="eastAsia" w:ascii="仿宋_GB2312" w:hAnsi="仿宋_GB2312" w:eastAsia="仿宋_GB2312" w:cs="仿宋_GB2312"/>
          <w:color w:val="auto"/>
          <w:sz w:val="24"/>
          <w:szCs w:val="24"/>
          <w:highlight w:val="none"/>
          <w:lang w:eastAsia="zh-CN"/>
        </w:rPr>
        <w:t>月</w:t>
      </w:r>
      <w:r>
        <w:rPr>
          <w:rFonts w:hint="eastAsia" w:ascii="仿宋_GB2312" w:hAnsi="仿宋_GB2312" w:eastAsia="仿宋_GB2312" w:cs="仿宋_GB2312"/>
          <w:color w:val="auto"/>
          <w:sz w:val="24"/>
          <w:szCs w:val="24"/>
          <w:highlight w:val="none"/>
          <w:lang w:val="en-US" w:eastAsia="zh-CN"/>
        </w:rPr>
        <w:t>30</w:t>
      </w:r>
      <w:r>
        <w:rPr>
          <w:rFonts w:hint="eastAsia" w:ascii="仿宋_GB2312" w:hAnsi="仿宋_GB2312" w:eastAsia="仿宋_GB2312" w:cs="仿宋_GB2312"/>
          <w:color w:val="auto"/>
          <w:sz w:val="24"/>
          <w:szCs w:val="24"/>
          <w:highlight w:val="none"/>
          <w:lang w:eastAsia="zh-CN"/>
        </w:rPr>
        <w:t>日。</w:t>
      </w:r>
    </w:p>
    <w:p w14:paraId="7F80A678">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2</w:t>
      </w:r>
      <w:r>
        <w:rPr>
          <w:rFonts w:hint="eastAsia"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eastAsia="zh-CN"/>
        </w:rPr>
        <w:t>具体签约时间和地点以《成交结果确认书》约定的期限或交易实施主体发出的通知短信/电话为准。竞得人如需调整签约时间应提前向公共资源管理部门提出申请，但需在公共资源管理部门通知的时间之日起5个工作日内完成签约，若竞得人延期签订合同时间超过交易实施主体通知的时间5个工作日的，公共资源管理部门有权取消竞得人中标资格，竞价保证金不予退还，竞价标的另行招租。</w:t>
      </w:r>
    </w:p>
    <w:p w14:paraId="057F5304">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(四)其他：</w:t>
      </w:r>
    </w:p>
    <w:p w14:paraId="00A07907">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1</w:t>
      </w:r>
      <w:r>
        <w:rPr>
          <w:rFonts w:hint="eastAsia"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eastAsia="zh-CN"/>
        </w:rPr>
        <w:t>厦门安居集团有限公司授权其全资子公司厦门安居置业有限公司，以厦门安居置业有限公司名义与竞得人签订该批次房屋租赁合同，并享有合同约定的权利，履行合同约定的义务，承担合同约定的责任。</w:t>
      </w:r>
    </w:p>
    <w:p w14:paraId="274FBA57">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2</w:t>
      </w:r>
      <w:r>
        <w:rPr>
          <w:rFonts w:hint="eastAsia"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b/>
          <w:bCs/>
          <w:color w:val="auto"/>
          <w:sz w:val="24"/>
          <w:szCs w:val="24"/>
          <w:highlight w:val="none"/>
          <w:u w:val="single"/>
          <w:lang w:eastAsia="zh-CN"/>
        </w:rPr>
        <w:t>标的物《中华人民共和国不动产权证书》尚未办理</w:t>
      </w:r>
      <w:r>
        <w:rPr>
          <w:rFonts w:hint="eastAsia" w:ascii="仿宋_GB2312" w:hAnsi="仿宋_GB2312" w:eastAsia="仿宋_GB2312" w:cs="仿宋_GB2312"/>
          <w:color w:val="auto"/>
          <w:sz w:val="24"/>
          <w:szCs w:val="24"/>
          <w:highlight w:val="none"/>
          <w:lang w:eastAsia="zh-CN"/>
        </w:rPr>
        <w:t>，竞价人报名参加竞价即表明已知悉该情况，如拟经营需要提供《中华人民共和国不动产权证书》才能经营的项目，请不要参加本次竞拍。竞价人成为竞得人后不得因此向交易实施主体提出任何诉求，且竞价人应自行承担由此造成的一切后果，亦不得因此向甲方主张任何权利。甲方已就标的物产权状况尽到如实披露义务，不承担产权证办理相关的任何责任。</w:t>
      </w:r>
    </w:p>
    <w:p w14:paraId="38AC694F">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3</w:t>
      </w:r>
      <w:r>
        <w:rPr>
          <w:rFonts w:hint="eastAsia"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eastAsia="zh-CN"/>
        </w:rPr>
        <w:t>在竞价结束后到《房屋租赁合同》签订并完成交房手续前，竞得人不得通过任何方式提前进入中标店面并开展包括但不限于堆放物品或材料、提前开展任何形式装修（含铺砖、刷白、砌墙、管线改造铺设等）等任何使用店面的行为。如有发现，</w:t>
      </w:r>
      <w:r>
        <w:rPr>
          <w:rFonts w:hint="eastAsia" w:ascii="仿宋_GB2312" w:hAnsi="仿宋_GB2312" w:eastAsia="仿宋_GB2312" w:cs="仿宋_GB2312"/>
          <w:color w:val="auto"/>
          <w:sz w:val="24"/>
          <w:szCs w:val="24"/>
          <w:highlight w:val="none"/>
          <w:lang w:val="en-US" w:eastAsia="zh-CN"/>
        </w:rPr>
        <w:t>甲方</w:t>
      </w:r>
      <w:r>
        <w:rPr>
          <w:rFonts w:hint="eastAsia" w:ascii="仿宋_GB2312" w:hAnsi="仿宋_GB2312" w:eastAsia="仿宋_GB2312" w:cs="仿宋_GB2312"/>
          <w:color w:val="auto"/>
          <w:sz w:val="24"/>
          <w:szCs w:val="24"/>
          <w:highlight w:val="none"/>
          <w:lang w:eastAsia="zh-CN"/>
        </w:rPr>
        <w:t>将视为严重违反《竞价公告》及《竞价协议书》相关约定，可采取包括但不限于取消竞得人资格、不予返还竞价保证金等措施。</w:t>
      </w:r>
    </w:p>
    <w:p w14:paraId="4950C88A">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4</w:t>
      </w:r>
      <w:r>
        <w:rPr>
          <w:rFonts w:hint="eastAsia"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eastAsia="zh-CN"/>
        </w:rPr>
        <w:t>竞价清单中店面备注内容为温馨提醒，竞价人须自行对租赁房屋及其附属设备设施的现状（注：此处现状特指租赁房屋交接时的现状，目前非空置房屋交接时的现状为原承租人搬离并拆除其自行增设的设备设施后的状态）、周边环境、物业管理情况等进行现场察看及充分了解。竞价人已经通过查阅文件、现场查看标的知悉上述瑕疵、缺陷和风险，标的出现该等瑕疵、缺陷或风险的，交易实施主体不承担任何责任，竞价人成为竞得人后不得因此要求解除本合同，且无权要求</w:t>
      </w:r>
      <w:r>
        <w:rPr>
          <w:rFonts w:hint="eastAsia" w:ascii="仿宋_GB2312" w:hAnsi="仿宋_GB2312" w:eastAsia="仿宋_GB2312" w:cs="仿宋_GB2312"/>
          <w:color w:val="auto"/>
          <w:sz w:val="24"/>
          <w:szCs w:val="24"/>
          <w:highlight w:val="none"/>
          <w:lang w:val="en-US" w:eastAsia="zh-CN"/>
        </w:rPr>
        <w:t>交易实施主体</w:t>
      </w:r>
      <w:r>
        <w:rPr>
          <w:rFonts w:hint="eastAsia" w:ascii="仿宋_GB2312" w:hAnsi="仿宋_GB2312" w:eastAsia="仿宋_GB2312" w:cs="仿宋_GB2312"/>
          <w:color w:val="auto"/>
          <w:sz w:val="24"/>
          <w:szCs w:val="24"/>
          <w:highlight w:val="none"/>
          <w:lang w:eastAsia="zh-CN"/>
        </w:rPr>
        <w:t>对此采取任何补救措施、支付任何费用或补偿款项或承担任何损害赔偿责任(侵权责任)，也无权要求减少、降低成交价款或拒绝支付成交价款。</w:t>
      </w:r>
    </w:p>
    <w:p w14:paraId="3B2A2735">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5</w:t>
      </w:r>
      <w:r>
        <w:rPr>
          <w:rFonts w:hint="eastAsia"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eastAsia="zh-CN"/>
        </w:rPr>
        <w:t>竞得人在对租赁房屋进行装修或改造时，装修/改造/设备安装方案应事先以书面方式征得交易实施主体及物业管理处书面同意并向相关主管部门（如消防、环保、卫生等）申请取得相关批文批件后方可施工。但交易实施主体的同意并不免除竞得人对租赁房屋进行装修或改造时应事先取得政府有关部门的审批许可。竞得人保证其装修/改造的合法合规性，按有关规定自行向政府有关部门办理租赁房屋经营及装修/改造需要的审批手续，交易实施主体不承担任何有关竞得人未能通过相关审批及验收的责任。竞得人在对租赁房屋进行装修改造时，涉及对租赁房屋原结构或设备设施（包括但不限于：拆除或改造原房屋隔墙/楼梯/楼板/卫生间等）的改造或破坏，交易实施主体将视竞得人装修/改造情况酌情收取装修恢复保证金。对同标的内租赁房屋原结构或设备设施改造或破坏的，同等视装修改造情况收取装修恢复保证金。收取标准如下：</w:t>
      </w:r>
    </w:p>
    <w:p w14:paraId="5B2EE442">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（1）装修恢复保证金计算方式为测算单价*工程量*X年通货膨胀率，其中X年通货膨胀率为1.07（合同终止年份-装修年份-1）。</w:t>
      </w:r>
    </w:p>
    <w:p w14:paraId="30F7A72C">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（2）装修工程保证金收取测算参考标准，如下所示：</w:t>
      </w:r>
    </w:p>
    <w:p w14:paraId="27D50BBE">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①砌墙体</w:t>
      </w:r>
    </w:p>
    <w:p w14:paraId="333039D0">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（a）规格：普通砖墙，墙体厚度12厘米，含砌墙、抹水泥、抹涂料等工序，每平方米240元；</w:t>
      </w:r>
    </w:p>
    <w:p w14:paraId="5C26A678">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（b）规格：普通砖墙，墙体厚度18厘米，含砌墙、抹水泥、抹涂料等工序，每平方米270元；</w:t>
      </w:r>
    </w:p>
    <w:p w14:paraId="43B7F684">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（c）规格：普通砖墙，墙体厚度24厘米，含砌墙、抹水泥、抹涂料等工序，每平方米300元。</w:t>
      </w:r>
    </w:p>
    <w:p w14:paraId="51CD357D">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②拆墙体</w:t>
      </w:r>
    </w:p>
    <w:p w14:paraId="4889EBD4">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（a）墙体厚度12厘米，含拆除墙体、土头清运等工序，每平方米60元；</w:t>
      </w:r>
    </w:p>
    <w:p w14:paraId="6E2901AC">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（b）墙体厚度18厘米，含拆除墙体、土头清运等工序，每平方米80元；</w:t>
      </w:r>
    </w:p>
    <w:p w14:paraId="363225A3">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（c）墙体厚度24厘米，含拆除墙体、土头清运等工序，每平方米100元。</w:t>
      </w:r>
    </w:p>
    <w:p w14:paraId="3CDAA553">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③管道拆除/恢复</w:t>
      </w:r>
    </w:p>
    <w:p w14:paraId="2B052317">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（a）原卫生间拆除、管道封闭，现需管道恢复等（含高档马桶1个、高档洗手盆1个、污水管2米、给水管3米、排水管3米、电源线5米）一套2200元；</w:t>
      </w:r>
    </w:p>
    <w:p w14:paraId="7F1FFD32">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（b）原卫生间拆除、管道封闭，现需管道恢复等（含中档马桶1个、中档洗手盆1个、污水管2米、给水管3米、排水管3米、电源线5米）一套1750元。</w:t>
      </w:r>
    </w:p>
    <w:p w14:paraId="09417130">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④店面钢筋混凝土楼梯拆除/恢复</w:t>
      </w:r>
    </w:p>
    <w:p w14:paraId="2E9FE208">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店面钢筋混凝土楼梯拆除/恢复包含如下项目，根据实际工程量计算：</w:t>
      </w:r>
    </w:p>
    <w:p w14:paraId="46AF0B19">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（a）直形楼梯（两跑），项目特征为C30预拌泵送混凝土（整体楼梯），每平方米220元；</w:t>
      </w:r>
    </w:p>
    <w:p w14:paraId="44498EC8">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（b）楼梯圈梁，项目特征为C30预拌泵送混凝土（楼梯圈梁），每立方米880元；</w:t>
      </w:r>
    </w:p>
    <w:p w14:paraId="54F75A2F">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（c）现浇构件钢筋，项目特征为：现浇构件带肋钢筋HRB400以内(直径≤10mm)；现浇构件带肋钢筋HRB400以内(直径12-18mm)；现浇构件带肋钢筋HRB400以内(直径20-25mm)，每吨6000元；</w:t>
      </w:r>
    </w:p>
    <w:p w14:paraId="304B9A83">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（d）钢筋植筋，项目特征为：采用A级结构胶；植筋：圈梁钢筋d≤20，板筋植筋d≤12；钢筋孔洞清孔；钢筋等级：HRB400.，每个20元；</w:t>
      </w:r>
    </w:p>
    <w:p w14:paraId="5F735A78">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（e）模板支撑，项目特征为楼梯板模板、圈梁模板及支撑，每平方米190元；</w:t>
      </w:r>
    </w:p>
    <w:p w14:paraId="6762A75A">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（f）金属扶手、栏杆、栏板，项目特征为：铸铁栏杆扶手；栏杆高度≥0.9m，间距≤0.11m，每米400元。</w:t>
      </w:r>
    </w:p>
    <w:p w14:paraId="4EBB07E7">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（3）装修恢复保证金收取参考标准将根据市场原材料价格、人工成本变化适时更新。</w:t>
      </w:r>
    </w:p>
    <w:p w14:paraId="782B0B72">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6</w:t>
      </w:r>
      <w:r>
        <w:rPr>
          <w:rFonts w:hint="eastAsia"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eastAsia="zh-CN"/>
        </w:rPr>
        <w:t>竞得人在报名前应自行对意向标的是否符合其业态规划，进行充分了解和考量，包括但不限于使用该意向标的开办竞得人规划的业态能否通过相关部门的批准、能否取得相关证照等。经营过程中需严格遵守《厦门市环境保护条例》，符合国家法律法规规定的行业，完全符合消防、环保等相关法律法规要求的行业；不会产生噪音扰民的行业；不会产生油烟扰民的餐饮行业，不得使用明火，不得从事废品回收行业。如经营过程中产生噪音扰民等行为，导致周边居民信访，且拒不整改的，将与其解除租赁合同。</w:t>
      </w:r>
    </w:p>
    <w:p w14:paraId="26630F26">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7</w:t>
      </w:r>
      <w:r>
        <w:rPr>
          <w:rFonts w:hint="eastAsia"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eastAsia="zh-CN"/>
        </w:rPr>
        <w:t>租赁期间，不排除存在相关方于店面周边公共区域增设公共设施的可能性，包括但不限于在店面周边公共区域设置电动自行车停车棚、摆放健身器械等。由于部分项目店面前道路已改造并铺设透水砖，属地物业恐不允许车辆开至店面门口，具体情况请咨询各项目属地物业。商用停车位由属地物业管理公司统一规划，有偿使用。</w:t>
      </w:r>
    </w:p>
    <w:p w14:paraId="4148ECA9">
      <w:pPr>
        <w:pStyle w:val="3"/>
        <w:widowControl w:val="0"/>
        <w:kinsoku/>
        <w:overflowPunct/>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8</w:t>
      </w:r>
      <w:r>
        <w:rPr>
          <w:rFonts w:hint="eastAsia"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eastAsia="zh-CN"/>
        </w:rPr>
        <w:t>如项目存在店面共用设施设备（包括但不限于隔油池、电梯等），竞得人因生产经营需要使用上述设施设备的，请自行与属地物业联系报备并承担相关费用。</w:t>
      </w:r>
    </w:p>
    <w:p w14:paraId="25ABF0A7">
      <w:pPr>
        <w:pStyle w:val="3"/>
        <w:kinsoku/>
        <w:autoSpaceDE/>
        <w:autoSpaceDN/>
        <w:spacing w:before="0" w:line="440" w:lineRule="exact"/>
        <w:ind w:left="0" w:leftChars="0" w:right="0" w:rightChars="0" w:firstLine="458"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十、提示和说明</w:t>
      </w:r>
    </w:p>
    <w:p w14:paraId="7C8FF609">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一</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参加标的1至5的竞得人，</w:t>
      </w:r>
      <w:r>
        <w:rPr>
          <w:rFonts w:hint="eastAsia" w:ascii="仿宋_GB2312" w:hAnsi="仿宋_GB2312" w:eastAsia="仿宋_GB2312" w:cs="仿宋_GB2312"/>
          <w:color w:val="auto"/>
          <w:sz w:val="24"/>
          <w:szCs w:val="24"/>
          <w:highlight w:val="none"/>
          <w:lang w:eastAsia="zh-CN"/>
        </w:rPr>
        <w:t>除须遵守本协议其他通用条款外，还须接受以下针对集中商业区域的特殊管理条件：</w:t>
      </w:r>
    </w:p>
    <w:p w14:paraId="497EB2F1">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1.消防与物业管理：</w:t>
      </w:r>
      <w:r>
        <w:rPr>
          <w:rFonts w:hint="eastAsia" w:ascii="仿宋_GB2312" w:hAnsi="仿宋_GB2312" w:eastAsia="仿宋_GB2312" w:cs="仿宋_GB2312"/>
          <w:color w:val="auto"/>
          <w:sz w:val="24"/>
          <w:szCs w:val="24"/>
          <w:highlight w:val="none"/>
          <w:lang w:eastAsia="zh-CN"/>
        </w:rPr>
        <w:t>标的</w:t>
      </w: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lang w:eastAsia="zh-CN"/>
        </w:rPr>
        <w:t>至</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lang w:eastAsia="zh-CN"/>
        </w:rPr>
        <w:t>所涉集中商业区域，其独立的消防控制室（消控室）及日常物业服务工作，由该标的的竞得人（以下简称“管理责任人”）自行负责组织管理。管理责任人应确保物业服务符合相应标准，并自行承担因此产生的全部人员、设备、运营及管理成本。</w:t>
      </w:r>
    </w:p>
    <w:p w14:paraId="535CBE3F">
      <w:pPr>
        <w:pStyle w:val="3"/>
        <w:kinsoku/>
        <w:autoSpaceDE/>
        <w:autoSpaceDN/>
        <w:spacing w:line="440" w:lineRule="exact"/>
        <w:ind w:right="0" w:rightChars="0" w:firstLine="480" w:firstLineChars="200"/>
        <w:jc w:val="both"/>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lang w:eastAsia="zh-CN"/>
        </w:rPr>
        <w:t>共用设备设施维保：该集中商业区域内部共用的电梯等设备设施，由上述管理责任人自行负责日常维护、保养、定期检验及维修，并承担由此产生的全部费用。如需进行中大修或更新改造的，相关方案及费用由所有使用该设备的承租方另行协商确定。</w:t>
      </w:r>
    </w:p>
    <w:p w14:paraId="26232B94">
      <w:pPr>
        <w:pStyle w:val="3"/>
        <w:kinsoku/>
        <w:autoSpaceDE/>
        <w:autoSpaceDN/>
        <w:spacing w:line="440" w:lineRule="exact"/>
        <w:ind w:right="0" w:rightChars="0" w:firstLine="480" w:firstLineChars="200"/>
        <w:jc w:val="both"/>
        <w:rPr>
          <w:color w:val="auto"/>
          <w:highlight w:val="none"/>
        </w:rPr>
      </w:pP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lang w:eastAsia="zh-CN"/>
        </w:rPr>
        <w:t>费用分摊原则：上述第1、2款所涉各项费用（包括但不限于消控室及物业管理人员薪酬、设备维保合同费用、日常耗材、年检费等），由标的</w:t>
      </w: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lang w:eastAsia="zh-CN"/>
        </w:rPr>
        <w:t>至</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lang w:eastAsia="zh-CN"/>
        </w:rPr>
        <w:t>的全部竞得人（即孚莲一里783号</w:t>
      </w:r>
      <w:r>
        <w:rPr>
          <w:rFonts w:hint="eastAsia"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eastAsia="zh-CN"/>
        </w:rPr>
        <w:t>1至4层的全体承租人）按各自承租的建筑面积占该四层总建筑面积的比例共同分摊。因部分标的未出租而形成的费用缺口，由出租方承担，已承租的竞得人无需承担超出自身面积比例的部分。</w:t>
      </w:r>
    </w:p>
    <w:p w14:paraId="32B45425">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lang w:eastAsia="zh-CN"/>
        </w:rPr>
        <w:t>责任与协调：竞得标的</w:t>
      </w: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lang w:eastAsia="zh-CN"/>
        </w:rPr>
        <w:t>至</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lang w:eastAsia="zh-CN"/>
        </w:rPr>
        <w:t>的各方</w:t>
      </w:r>
      <w:r>
        <w:rPr>
          <w:rFonts w:hint="eastAsia" w:ascii="仿宋_GB2312" w:hAnsi="仿宋_GB2312" w:eastAsia="仿宋_GB2312" w:cs="仿宋_GB2312"/>
          <w:color w:val="auto"/>
          <w:sz w:val="24"/>
          <w:szCs w:val="24"/>
          <w:highlight w:val="none"/>
          <w:lang w:val="en-US" w:eastAsia="zh-CN"/>
        </w:rPr>
        <w:t>竞得人</w:t>
      </w:r>
      <w:r>
        <w:rPr>
          <w:rFonts w:hint="eastAsia" w:ascii="仿宋_GB2312" w:hAnsi="仿宋_GB2312" w:eastAsia="仿宋_GB2312" w:cs="仿宋_GB2312"/>
          <w:color w:val="auto"/>
          <w:sz w:val="24"/>
          <w:szCs w:val="24"/>
          <w:highlight w:val="none"/>
          <w:lang w:eastAsia="zh-CN"/>
        </w:rPr>
        <w:t>，应就上述共用设施的管理、费用分摊及日常协调事宜，自行建立有效的沟通与执行机制。任何一方不得因内部协调问题，拒绝对第三方（如维保公司、监管部门）承担应尽责任。</w:t>
      </w:r>
    </w:p>
    <w:p w14:paraId="503C07AA">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二</w:t>
      </w:r>
      <w:r>
        <w:rPr>
          <w:rFonts w:hint="eastAsia" w:ascii="仿宋_GB2312" w:hAnsi="仿宋_GB2312" w:eastAsia="仿宋_GB2312" w:cs="仿宋_GB2312"/>
          <w:color w:val="auto"/>
          <w:sz w:val="24"/>
          <w:szCs w:val="24"/>
          <w:highlight w:val="none"/>
          <w:lang w:eastAsia="zh-CN"/>
        </w:rPr>
        <w:t>)租赁期限：所有标的租赁期限均为五年，免租期为二个月。</w:t>
      </w:r>
    </w:p>
    <w:p w14:paraId="29FEEC29">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三</w:t>
      </w:r>
      <w:r>
        <w:rPr>
          <w:rFonts w:hint="eastAsia" w:ascii="仿宋_GB2312" w:hAnsi="仿宋_GB2312" w:eastAsia="仿宋_GB2312" w:cs="仿宋_GB2312"/>
          <w:color w:val="auto"/>
          <w:sz w:val="24"/>
          <w:szCs w:val="24"/>
          <w:highlight w:val="none"/>
          <w:lang w:eastAsia="zh-CN"/>
        </w:rPr>
        <w:t>)租金收取方式：自第二个计租年度起，租金在实际中标价的基础上逐年递增5%。</w:t>
      </w:r>
    </w:p>
    <w:p w14:paraId="33B6ADD9">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四</w:t>
      </w:r>
      <w:r>
        <w:rPr>
          <w:rFonts w:hint="eastAsia" w:ascii="仿宋_GB2312" w:hAnsi="仿宋_GB2312" w:eastAsia="仿宋_GB2312" w:cs="仿宋_GB2312"/>
          <w:color w:val="auto"/>
          <w:sz w:val="24"/>
          <w:szCs w:val="24"/>
          <w:highlight w:val="none"/>
          <w:lang w:eastAsia="zh-CN"/>
        </w:rPr>
        <w:t>)物业费：物业费与公维金请自行到各属地社区咨询，且以属地物业实际缴收为准。</w:t>
      </w:r>
    </w:p>
    <w:p w14:paraId="02382638">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五</w:t>
      </w:r>
      <w:r>
        <w:rPr>
          <w:rFonts w:hint="eastAsia" w:ascii="仿宋_GB2312" w:hAnsi="仿宋_GB2312" w:eastAsia="仿宋_GB2312" w:cs="仿宋_GB2312"/>
          <w:color w:val="auto"/>
          <w:sz w:val="24"/>
          <w:szCs w:val="24"/>
          <w:highlight w:val="none"/>
          <w:lang w:eastAsia="zh-CN"/>
        </w:rPr>
        <w:t>)如项目存在店面共用设施设备（包括但不限于隔油池、电梯等），竞得人因生产经营需要使用上述设施设备的，请自行与属地物业联系报备并承担相关费用。</w:t>
      </w:r>
    </w:p>
    <w:p w14:paraId="3F1ED14A">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六</w:t>
      </w:r>
      <w:r>
        <w:rPr>
          <w:rFonts w:hint="eastAsia" w:ascii="仿宋_GB2312" w:hAnsi="仿宋_GB2312" w:eastAsia="仿宋_GB2312" w:cs="仿宋_GB2312"/>
          <w:color w:val="auto"/>
          <w:sz w:val="24"/>
          <w:szCs w:val="24"/>
          <w:highlight w:val="none"/>
          <w:lang w:eastAsia="zh-CN"/>
        </w:rPr>
        <w:t>)友情提示：竞得人应按竞价公告规定时间预约、参加看样，对租赁物周边环境是否允许停放车辆、从事洗车美容等汽修业态或存放生产物资、物料的，需自行考量并向物业服务企业和有关管理部门提前咨询了解，否则因此造成的相关损失均由竞得人自行承担。</w:t>
      </w:r>
    </w:p>
    <w:p w14:paraId="1C4FDE67">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七</w:t>
      </w:r>
      <w:r>
        <w:rPr>
          <w:rFonts w:hint="eastAsia" w:ascii="仿宋_GB2312" w:hAnsi="仿宋_GB2312" w:eastAsia="仿宋_GB2312" w:cs="仿宋_GB2312"/>
          <w:color w:val="auto"/>
          <w:sz w:val="24"/>
          <w:szCs w:val="24"/>
          <w:highlight w:val="none"/>
          <w:lang w:eastAsia="zh-CN"/>
        </w:rPr>
        <w:t>)在竞价结束后到房屋租赁合同签订并完成交房手续前，竞得人不得通过任何方式提前进入中标店面并开展包括但不限于堆放物品或材料、提前开展任何形式的装修（含铺砖、刷白、砌墙、管线改造铺设等）等任何使用店面的行为。如有发现，</w:t>
      </w:r>
      <w:r>
        <w:rPr>
          <w:rFonts w:hint="eastAsia" w:ascii="仿宋_GB2312" w:hAnsi="仿宋_GB2312" w:eastAsia="仿宋_GB2312" w:cs="仿宋_GB2312"/>
          <w:color w:val="auto"/>
          <w:sz w:val="24"/>
          <w:szCs w:val="24"/>
          <w:highlight w:val="none"/>
          <w:lang w:val="en-US" w:eastAsia="zh-CN"/>
        </w:rPr>
        <w:t>甲方</w:t>
      </w:r>
      <w:r>
        <w:rPr>
          <w:rFonts w:hint="eastAsia" w:ascii="仿宋_GB2312" w:hAnsi="仿宋_GB2312" w:eastAsia="仿宋_GB2312" w:cs="仿宋_GB2312"/>
          <w:color w:val="auto"/>
          <w:sz w:val="24"/>
          <w:szCs w:val="24"/>
          <w:highlight w:val="none"/>
          <w:lang w:eastAsia="zh-CN"/>
        </w:rPr>
        <w:t>将视为严重违反《竞价公告》及《竞价协议书》相关约定，可采取包括但不限于取消竞得人资格、不予返还竞价保证金等措施。</w:t>
      </w:r>
    </w:p>
    <w:p w14:paraId="72E1FF61">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八</w:t>
      </w:r>
      <w:r>
        <w:rPr>
          <w:rFonts w:hint="eastAsia" w:ascii="仿宋_GB2312" w:hAnsi="仿宋_GB2312" w:eastAsia="仿宋_GB2312" w:cs="仿宋_GB2312"/>
          <w:color w:val="auto"/>
          <w:sz w:val="24"/>
          <w:szCs w:val="24"/>
          <w:highlight w:val="none"/>
          <w:lang w:eastAsia="zh-CN"/>
        </w:rPr>
        <w:t>)竞价人须自行对租赁房屋及其附属设备设施的现状、周边环境、物业管理情况等进行现场察看及充分了解。竞价人已经通过查阅文件、现场查看标的知悉上述瑕疵、缺陷和风险，标的出现该等瑕疵、缺陷或风险的，</w:t>
      </w:r>
      <w:r>
        <w:rPr>
          <w:rFonts w:hint="eastAsia" w:ascii="仿宋_GB2312" w:hAnsi="仿宋_GB2312" w:eastAsia="仿宋_GB2312" w:cs="仿宋_GB2312"/>
          <w:color w:val="auto"/>
          <w:sz w:val="24"/>
          <w:szCs w:val="24"/>
          <w:highlight w:val="none"/>
          <w:lang w:val="en-US" w:eastAsia="zh-CN"/>
        </w:rPr>
        <w:t>交易实施主体</w:t>
      </w:r>
      <w:r>
        <w:rPr>
          <w:rFonts w:hint="eastAsia" w:ascii="仿宋_GB2312" w:hAnsi="仿宋_GB2312" w:eastAsia="仿宋_GB2312" w:cs="仿宋_GB2312"/>
          <w:color w:val="auto"/>
          <w:sz w:val="24"/>
          <w:szCs w:val="24"/>
          <w:highlight w:val="none"/>
          <w:lang w:eastAsia="zh-CN"/>
        </w:rPr>
        <w:t>不承担任何责任，竞价人成为最终中标人后不得因此要求解除本合同，且无权要求</w:t>
      </w:r>
      <w:r>
        <w:rPr>
          <w:rFonts w:hint="eastAsia" w:ascii="仿宋_GB2312" w:hAnsi="仿宋_GB2312" w:eastAsia="仿宋_GB2312" w:cs="仿宋_GB2312"/>
          <w:color w:val="auto"/>
          <w:sz w:val="24"/>
          <w:szCs w:val="24"/>
          <w:highlight w:val="none"/>
          <w:lang w:val="en-US" w:eastAsia="zh-CN"/>
        </w:rPr>
        <w:t>交易实施主体</w:t>
      </w:r>
      <w:r>
        <w:rPr>
          <w:rFonts w:hint="eastAsia" w:ascii="仿宋_GB2312" w:hAnsi="仿宋_GB2312" w:eastAsia="仿宋_GB2312" w:cs="仿宋_GB2312"/>
          <w:color w:val="auto"/>
          <w:sz w:val="24"/>
          <w:szCs w:val="24"/>
          <w:highlight w:val="none"/>
          <w:lang w:eastAsia="zh-CN"/>
        </w:rPr>
        <w:t>对此采取任何补救措施、支付任何费用或补偿款项或承担任何损害赔偿责任(侵权责任)，也无权要求减少、降低成交价款或拒绝支付成交价款。</w:t>
      </w:r>
    </w:p>
    <w:p w14:paraId="752E6970">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九</w:t>
      </w:r>
      <w:r>
        <w:rPr>
          <w:rFonts w:hint="eastAsia" w:ascii="仿宋_GB2312" w:hAnsi="仿宋_GB2312" w:eastAsia="仿宋_GB2312" w:cs="仿宋_GB2312"/>
          <w:color w:val="auto"/>
          <w:sz w:val="24"/>
          <w:szCs w:val="24"/>
          <w:highlight w:val="none"/>
          <w:lang w:eastAsia="zh-CN"/>
        </w:rPr>
        <w:t>)竞价人拟对租赁房屋有装修（改造）意向，应在竞价前自行与属地城管部门联系了解相关情况，在取得城管同意后方可经营/施工，若未事先与属地城管部门联系了解相关情况导致造成相关损失（包括但不限于：执法单位罚款、要求恢复原状等费用）由</w:t>
      </w:r>
      <w:r>
        <w:rPr>
          <w:rFonts w:hint="eastAsia" w:ascii="仿宋_GB2312" w:hAnsi="仿宋_GB2312" w:eastAsia="仿宋_GB2312" w:cs="仿宋_GB2312"/>
          <w:color w:val="auto"/>
          <w:sz w:val="24"/>
          <w:szCs w:val="24"/>
          <w:highlight w:val="none"/>
          <w:lang w:val="en-US" w:eastAsia="zh-CN"/>
        </w:rPr>
        <w:t>竞得人</w:t>
      </w:r>
      <w:r>
        <w:rPr>
          <w:rFonts w:hint="eastAsia" w:ascii="仿宋_GB2312" w:hAnsi="仿宋_GB2312" w:eastAsia="仿宋_GB2312" w:cs="仿宋_GB2312"/>
          <w:color w:val="auto"/>
          <w:sz w:val="24"/>
          <w:szCs w:val="24"/>
          <w:highlight w:val="none"/>
          <w:lang w:eastAsia="zh-CN"/>
        </w:rPr>
        <w:t>自行承担，</w:t>
      </w:r>
      <w:r>
        <w:rPr>
          <w:rFonts w:hint="eastAsia" w:ascii="仿宋_GB2312" w:hAnsi="仿宋_GB2312" w:eastAsia="仿宋_GB2312" w:cs="仿宋_GB2312"/>
          <w:color w:val="auto"/>
          <w:sz w:val="24"/>
          <w:szCs w:val="24"/>
          <w:highlight w:val="none"/>
          <w:lang w:val="en-US" w:eastAsia="zh-CN"/>
        </w:rPr>
        <w:t>甲方及交易实施主体</w:t>
      </w:r>
      <w:r>
        <w:rPr>
          <w:rFonts w:hint="eastAsia" w:ascii="仿宋_GB2312" w:hAnsi="仿宋_GB2312" w:eastAsia="仿宋_GB2312" w:cs="仿宋_GB2312"/>
          <w:color w:val="auto"/>
          <w:sz w:val="24"/>
          <w:szCs w:val="24"/>
          <w:highlight w:val="none"/>
          <w:lang w:eastAsia="zh-CN"/>
        </w:rPr>
        <w:t>概不负责。</w:t>
      </w:r>
    </w:p>
    <w:p w14:paraId="108FE67A">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十</w:t>
      </w:r>
      <w:r>
        <w:rPr>
          <w:rFonts w:hint="eastAsia" w:ascii="仿宋_GB2312" w:hAnsi="仿宋_GB2312" w:eastAsia="仿宋_GB2312" w:cs="仿宋_GB2312"/>
          <w:color w:val="auto"/>
          <w:sz w:val="24"/>
          <w:szCs w:val="24"/>
          <w:highlight w:val="none"/>
          <w:lang w:eastAsia="zh-CN"/>
        </w:rPr>
        <w:t>)甲方提示乙方：乙方应对本次竞价的标的作充分了解和必要价值判断，对自己的竞价行为负责，甲方提供的竞价资料和工作人员的介绍及评价均为参考性意见，不构成对竞价标的的任何保证。乙方不得以此为借口，作为竞价后反悔的理由，不得要求交易实施主体和甲方修改成交结果确认书、退回竞价成交款及竞价佣金或要求交易实施主体和甲方给予经济赔偿。竞价标的情况以现状察看为准，有关标的资料是对标的的一般性介绍，仅为参考性说明，不构成对标的的担保，也不具有任何法律效力。标的的任何瑕疵及风险等不影响成交结果。</w:t>
      </w:r>
    </w:p>
    <w:p w14:paraId="7B89824D">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(十</w:t>
      </w:r>
      <w:r>
        <w:rPr>
          <w:rFonts w:hint="eastAsia" w:ascii="仿宋_GB2312" w:hAnsi="仿宋_GB2312" w:eastAsia="仿宋_GB2312" w:cs="仿宋_GB2312"/>
          <w:color w:val="auto"/>
          <w:sz w:val="24"/>
          <w:szCs w:val="24"/>
          <w:highlight w:val="none"/>
          <w:lang w:val="en-US" w:eastAsia="zh-CN"/>
        </w:rPr>
        <w:t>一</w:t>
      </w:r>
      <w:r>
        <w:rPr>
          <w:rFonts w:hint="eastAsia" w:ascii="仿宋_GB2312" w:hAnsi="仿宋_GB2312" w:eastAsia="仿宋_GB2312" w:cs="仿宋_GB2312"/>
          <w:color w:val="auto"/>
          <w:sz w:val="24"/>
          <w:szCs w:val="24"/>
          <w:highlight w:val="none"/>
          <w:lang w:eastAsia="zh-CN"/>
        </w:rPr>
        <w:t>)甲方提示乙方：与该竞价标的有关数据资料以交易实施主体提供的相关资料内容为准，由于交易实施主体提供的相关资料不实给乙方造成损失的，甲方不承担任何责任。</w:t>
      </w:r>
    </w:p>
    <w:p w14:paraId="6558B5B6">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(十</w:t>
      </w:r>
      <w:r>
        <w:rPr>
          <w:rFonts w:hint="eastAsia" w:ascii="仿宋_GB2312" w:hAnsi="仿宋_GB2312" w:eastAsia="仿宋_GB2312" w:cs="仿宋_GB2312"/>
          <w:color w:val="auto"/>
          <w:sz w:val="24"/>
          <w:szCs w:val="24"/>
          <w:highlight w:val="none"/>
          <w:lang w:val="en-US" w:eastAsia="zh-CN"/>
        </w:rPr>
        <w:t>二</w:t>
      </w:r>
      <w:r>
        <w:rPr>
          <w:rFonts w:hint="eastAsia" w:ascii="仿宋_GB2312" w:hAnsi="仿宋_GB2312" w:eastAsia="仿宋_GB2312" w:cs="仿宋_GB2312"/>
          <w:color w:val="auto"/>
          <w:sz w:val="24"/>
          <w:szCs w:val="24"/>
          <w:highlight w:val="none"/>
          <w:lang w:eastAsia="zh-CN"/>
        </w:rPr>
        <w:t>)甲方提示乙方：乙方应对竞价会当中自己的应价行为负责，一经应价即为有效，不得以任何理由(包括但不仅限于：其他竞价人是否具备竞价资格、其他竞价人的应价是否对乙方的应价造成影响等)对抗自己应价的法律效果。</w:t>
      </w:r>
    </w:p>
    <w:p w14:paraId="173FFD22">
      <w:pPr>
        <w:pStyle w:val="3"/>
        <w:kinsoku/>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(十</w:t>
      </w:r>
      <w:r>
        <w:rPr>
          <w:rFonts w:hint="eastAsia" w:ascii="仿宋_GB2312" w:hAnsi="仿宋_GB2312" w:eastAsia="仿宋_GB2312" w:cs="仿宋_GB2312"/>
          <w:color w:val="auto"/>
          <w:sz w:val="24"/>
          <w:szCs w:val="24"/>
          <w:highlight w:val="none"/>
          <w:lang w:val="en-US" w:eastAsia="zh-CN"/>
        </w:rPr>
        <w:t>三</w:t>
      </w:r>
      <w:r>
        <w:rPr>
          <w:rFonts w:hint="eastAsia" w:ascii="仿宋_GB2312" w:hAnsi="仿宋_GB2312" w:eastAsia="仿宋_GB2312" w:cs="仿宋_GB2312"/>
          <w:color w:val="auto"/>
          <w:sz w:val="24"/>
          <w:szCs w:val="24"/>
          <w:highlight w:val="none"/>
          <w:lang w:eastAsia="zh-CN"/>
        </w:rPr>
        <w:t>)甲方提示乙方：乙方应如实提供背景资料，倘若因乙方提供不实资料，进行虚假陈述，隐瞒事实真相，导致竞价成交后，被有权机构撤销竞价结果或竞价结果不被确认，或竞价标的无法办理登记手续，乙方将按其做出的承诺和保证，自行承担相应的法律责任及后果。</w:t>
      </w:r>
    </w:p>
    <w:p w14:paraId="0CDEB80D">
      <w:pPr>
        <w:pStyle w:val="3"/>
        <w:kinsoku/>
        <w:autoSpaceDE/>
        <w:autoSpaceDN/>
        <w:spacing w:before="0" w:line="440" w:lineRule="exact"/>
        <w:ind w:left="0" w:leftChars="0" w:right="0" w:rightChars="0" w:firstLine="458"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十一、违约责任</w:t>
      </w:r>
    </w:p>
    <w:p w14:paraId="57479520">
      <w:pPr>
        <w:pStyle w:val="3"/>
        <w:kinsoku/>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(一)在竞价成交后，乙方未按本协议约定签署《成交结果确认书》及《房屋租赁合同》的视为违约，竞价保证金不予退还。</w:t>
      </w:r>
    </w:p>
    <w:p w14:paraId="7030D49F">
      <w:pPr>
        <w:pStyle w:val="3"/>
        <w:kinsoku/>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二)如果乙方未按照第八条的规定支付成交价款的，乙方违约。如交易实施主体同意乙方继续履行付款义务的，每迟延一日付款，乙方应向交易实施主体支付应付款项的千分之三作为滞纳金；如交易实施主体拒绝乙方继续履行付款义务的，乙方所交竞价保证金不予退还。</w:t>
      </w:r>
    </w:p>
    <w:p w14:paraId="1C59DC76">
      <w:pPr>
        <w:pStyle w:val="3"/>
        <w:kinsoku/>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(三)如果乙方未按照第八条的规定支付竞价佣金的，乙方违约。每迟延一日付款，乙方应向甲方支付应付款项的千分之三作为滞纳金。在竞价佣金全部付清前，不退还留存甲方的履约保证金。</w:t>
      </w:r>
    </w:p>
    <w:p w14:paraId="3E6B68B8">
      <w:pPr>
        <w:pStyle w:val="3"/>
        <w:kinsoku/>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四)乙方违反其在竞价活动中所做的陈述与保证、承诺或其他义务，或其在本次竞价活动中所做的有关陈述与保证不真实、不准确或存在重大遗漏的，甲方有权通知乙方在通知指定期限内予以补正，并要求乙方赔偿甲方及交易实施主体因此遭受的实际损失；或者甲方有权解除本合同，甲方解除本合同的，乙方支付的竞价保证金(成交后为履约保证金)不予返还，前述保证金不足以弥补甲方及交易实施主体因此遭受的实际损失的，竞得人还应当补偿该等实际损失。</w:t>
      </w:r>
    </w:p>
    <w:p w14:paraId="399D2A1E">
      <w:pPr>
        <w:pStyle w:val="3"/>
        <w:kinsoku/>
        <w:autoSpaceDE/>
        <w:autoSpaceDN/>
        <w:spacing w:before="0" w:line="440" w:lineRule="exact"/>
        <w:ind w:left="0" w:leftChars="0" w:right="0" w:rightChars="0" w:firstLine="458"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十二、保密责任</w:t>
      </w:r>
    </w:p>
    <w:p w14:paraId="5D65A17B">
      <w:pPr>
        <w:pStyle w:val="3"/>
        <w:kinsoku/>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甲乙双方应对在竞价程序中知悉的对方商业秘密予以保</w:t>
      </w:r>
      <w:r>
        <w:rPr>
          <w:rFonts w:hint="eastAsia" w:ascii="仿宋_GB2312" w:hAnsi="仿宋_GB2312" w:eastAsia="仿宋_GB2312" w:cs="仿宋_GB2312"/>
          <w:color w:val="auto"/>
          <w:spacing w:val="7"/>
          <w:sz w:val="24"/>
          <w:szCs w:val="24"/>
          <w:highlight w:val="none"/>
          <w:lang w:eastAsia="zh-CN"/>
        </w:rPr>
        <w:t>密。</w:t>
      </w:r>
    </w:p>
    <w:p w14:paraId="1EF0CAB2">
      <w:pPr>
        <w:pStyle w:val="3"/>
        <w:kinsoku/>
        <w:autoSpaceDE/>
        <w:autoSpaceDN/>
        <w:spacing w:before="0" w:line="440" w:lineRule="exact"/>
        <w:ind w:left="0" w:leftChars="0" w:right="0" w:rightChars="0" w:firstLine="458"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十三、标的撤回</w:t>
      </w:r>
    </w:p>
    <w:p w14:paraId="169CCE6E">
      <w:pPr>
        <w:pStyle w:val="3"/>
        <w:kinsoku/>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甲方是中介代理机构，如竞价前交易实施主体撤回委托的，甲、乙双方均应无条件服从，互不承担违约责任，甲乙双方并放弃向交易实施主体索赔或主张其他权利。</w:t>
      </w:r>
    </w:p>
    <w:p w14:paraId="18A81B8B">
      <w:pPr>
        <w:pStyle w:val="3"/>
        <w:kinsoku/>
        <w:autoSpaceDE/>
        <w:autoSpaceDN/>
        <w:spacing w:before="0"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十四、法律适用与争议解决</w:t>
      </w:r>
    </w:p>
    <w:p w14:paraId="04356536">
      <w:pPr>
        <w:pStyle w:val="3"/>
        <w:kinsoku/>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本合同的签订、成立、效力、解释、履行等事宜均适用中国法律。</w:t>
      </w:r>
    </w:p>
    <w:p w14:paraId="0F78878F">
      <w:pPr>
        <w:pStyle w:val="3"/>
        <w:kinsoku/>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因本合同及本次竞价活动引起或与本合同及本次竞价活动有关的一切争议，双方均应友好协商解决；如不能解决的，任何一方均应向甲方住所地有管辖权的人民法院提起诉讼。</w:t>
      </w:r>
    </w:p>
    <w:p w14:paraId="1DF5429B">
      <w:pPr>
        <w:pStyle w:val="3"/>
        <w:kinsoku/>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如果本合同的某条款被宣布为无效，应不影响本合同任何其他条款的效力。</w:t>
      </w:r>
    </w:p>
    <w:p w14:paraId="6508FCFD">
      <w:pPr>
        <w:pStyle w:val="3"/>
        <w:kinsoku/>
        <w:autoSpaceDE/>
        <w:autoSpaceDN/>
        <w:spacing w:line="440" w:lineRule="exact"/>
        <w:ind w:left="0" w:leftChars="0" w:right="0" w:rightChars="0" w:firstLine="46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十五、合同的生效</w:t>
      </w:r>
    </w:p>
    <w:p w14:paraId="24DE5718">
      <w:pPr>
        <w:pStyle w:val="3"/>
        <w:kinsoku/>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本合同经甲、乙双方签章起生效。《房屋租赁合同》样稿作为本协议的附件为本协议不可分割的一部分，与本合同具有同等效力。《房屋租赁合同》样稿及相关书面文件是甲方与乙方之间权利义务的重要内容，为本协议的重要组成部分，本协议未尽事宜应按该《房屋租赁合同》样稿执行。</w:t>
      </w:r>
    </w:p>
    <w:p w14:paraId="2EC66E90">
      <w:pPr>
        <w:pStyle w:val="3"/>
        <w:kinsoku/>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p>
    <w:p w14:paraId="00BFFDC1">
      <w:pPr>
        <w:pStyle w:val="3"/>
        <w:kinsoku/>
        <w:autoSpaceDE/>
        <w:autoSpaceDN/>
        <w:spacing w:before="0" w:line="440" w:lineRule="exact"/>
        <w:ind w:left="0" w:right="0" w:rightChars="0" w:firstLine="498"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附件：1.《竞价清单》</w:t>
      </w:r>
    </w:p>
    <w:p w14:paraId="607673E8">
      <w:pPr>
        <w:pStyle w:val="3"/>
        <w:kinsoku/>
        <w:autoSpaceDE/>
        <w:autoSpaceDN/>
        <w:spacing w:before="0" w:line="440" w:lineRule="exact"/>
        <w:ind w:left="0" w:right="0" w:rightChars="0" w:firstLine="420" w:firstLineChars="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val="en-US" w:eastAsia="zh-CN"/>
        </w:rPr>
        <w:t xml:space="preserve">       </w:t>
      </w:r>
      <w:r>
        <w:rPr>
          <w:rFonts w:hint="eastAsia" w:ascii="仿宋_GB2312" w:hAnsi="仿宋_GB2312" w:eastAsia="仿宋_GB2312" w:cs="仿宋_GB2312"/>
          <w:b/>
          <w:bCs/>
          <w:color w:val="auto"/>
          <w:spacing w:val="6"/>
          <w:sz w:val="24"/>
          <w:szCs w:val="24"/>
          <w:highlight w:val="none"/>
          <w:lang w:eastAsia="zh-CN"/>
        </w:rPr>
        <w:t>2.《房屋租赁合同》样稿</w:t>
      </w:r>
    </w:p>
    <w:p w14:paraId="3B497E39">
      <w:pPr>
        <w:pStyle w:val="3"/>
        <w:kinsoku/>
        <w:autoSpaceDE/>
        <w:autoSpaceDN/>
        <w:spacing w:before="0" w:line="440" w:lineRule="exact"/>
        <w:ind w:left="0" w:right="0" w:rightChars="0" w:firstLine="420" w:firstLineChars="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1"/>
          <w:sz w:val="24"/>
          <w:szCs w:val="24"/>
          <w:highlight w:val="none"/>
          <w:lang w:val="en-US" w:eastAsia="zh-CN"/>
        </w:rPr>
        <w:t xml:space="preserve">       </w:t>
      </w:r>
      <w:r>
        <w:rPr>
          <w:rFonts w:hint="eastAsia" w:ascii="仿宋_GB2312" w:hAnsi="仿宋_GB2312" w:eastAsia="仿宋_GB2312" w:cs="仿宋_GB2312"/>
          <w:b/>
          <w:bCs/>
          <w:color w:val="auto"/>
          <w:spacing w:val="-1"/>
          <w:sz w:val="24"/>
          <w:szCs w:val="24"/>
          <w:highlight w:val="none"/>
          <w:lang w:eastAsia="zh-CN"/>
        </w:rPr>
        <w:t>3.《商户信用管理办法（试行）》</w:t>
      </w:r>
    </w:p>
    <w:p w14:paraId="338AC1FF">
      <w:pPr>
        <w:kinsoku/>
        <w:spacing w:before="0" w:line="392" w:lineRule="auto"/>
        <w:ind w:right="0" w:rightChars="0" w:firstLine="480" w:firstLineChars="200"/>
        <w:rPr>
          <w:rFonts w:hint="eastAsia" w:ascii="仿宋_GB2312" w:hAnsi="仿宋_GB2312" w:eastAsia="仿宋_GB2312" w:cs="仿宋_GB2312"/>
          <w:b/>
          <w:bCs/>
          <w:color w:val="auto"/>
          <w:spacing w:val="-1"/>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（以下为签订页）</w:t>
      </w:r>
    </w:p>
    <w:p w14:paraId="6F1A32CC">
      <w:pPr>
        <w:pStyle w:val="3"/>
        <w:kinsoku/>
        <w:autoSpaceDE/>
        <w:autoSpaceDN/>
        <w:spacing w:before="0" w:line="440" w:lineRule="exact"/>
        <w:ind w:right="0" w:rightChars="0" w:firstLine="0" w:firstLineChars="0"/>
        <w:rPr>
          <w:rFonts w:hint="eastAsia" w:ascii="仿宋_GB2312" w:hAnsi="仿宋_GB2312" w:eastAsia="仿宋_GB2312" w:cs="仿宋_GB2312"/>
          <w:b/>
          <w:bCs/>
          <w:color w:val="auto"/>
          <w:spacing w:val="-2"/>
          <w:sz w:val="24"/>
          <w:szCs w:val="24"/>
          <w:highlight w:val="none"/>
          <w:lang w:eastAsia="zh-CN"/>
        </w:rPr>
      </w:pPr>
      <w:r>
        <w:rPr>
          <w:rFonts w:hint="eastAsia" w:ascii="仿宋_GB2312" w:hAnsi="仿宋_GB2312" w:eastAsia="仿宋_GB2312" w:cs="仿宋_GB2312"/>
          <w:b/>
          <w:bCs/>
          <w:color w:val="auto"/>
          <w:spacing w:val="-1"/>
          <w:sz w:val="24"/>
          <w:szCs w:val="24"/>
          <w:highlight w:val="none"/>
          <w:lang w:eastAsia="zh-CN"/>
        </w:rPr>
        <w:t xml:space="preserve">拍卖人(甲方)：厦门市旧城保护开发有限公司 </w:t>
      </w:r>
      <w:r>
        <w:rPr>
          <w:rFonts w:hint="eastAsia" w:ascii="仿宋_GB2312" w:hAnsi="仿宋_GB2312" w:eastAsia="仿宋_GB2312" w:cs="仿宋_GB2312"/>
          <w:color w:val="auto"/>
          <w:spacing w:val="-1"/>
          <w:sz w:val="24"/>
          <w:szCs w:val="24"/>
          <w:highlight w:val="none"/>
          <w:lang w:eastAsia="zh-CN"/>
        </w:rPr>
        <w:t xml:space="preserve"> </w:t>
      </w:r>
      <w:r>
        <w:rPr>
          <w:rFonts w:hint="eastAsia" w:ascii="仿宋_GB2312" w:hAnsi="仿宋_GB2312" w:eastAsia="仿宋_GB2312" w:cs="仿宋_GB2312"/>
          <w:color w:val="auto"/>
          <w:spacing w:val="-2"/>
          <w:sz w:val="24"/>
          <w:szCs w:val="24"/>
          <w:highlight w:val="none"/>
          <w:lang w:eastAsia="zh-CN"/>
        </w:rPr>
        <w:t xml:space="preserve"> </w:t>
      </w:r>
      <w:r>
        <w:rPr>
          <w:rFonts w:hint="eastAsia" w:ascii="仿宋_GB2312" w:hAnsi="仿宋_GB2312" w:eastAsia="仿宋_GB2312" w:cs="仿宋_GB2312"/>
          <w:color w:val="auto"/>
          <w:spacing w:val="-2"/>
          <w:sz w:val="24"/>
          <w:szCs w:val="24"/>
          <w:highlight w:val="none"/>
          <w:lang w:val="en-US" w:eastAsia="zh-CN"/>
        </w:rPr>
        <w:t xml:space="preserve">       </w:t>
      </w:r>
      <w:r>
        <w:rPr>
          <w:rFonts w:hint="eastAsia" w:ascii="仿宋_GB2312" w:hAnsi="仿宋_GB2312" w:eastAsia="仿宋_GB2312" w:cs="仿宋_GB2312"/>
          <w:b/>
          <w:bCs/>
          <w:color w:val="auto"/>
          <w:spacing w:val="-2"/>
          <w:sz w:val="24"/>
          <w:szCs w:val="24"/>
          <w:highlight w:val="none"/>
          <w:lang w:eastAsia="zh-CN"/>
        </w:rPr>
        <w:t>竞价人(乙方)：</w:t>
      </w:r>
    </w:p>
    <w:p w14:paraId="5B1BAA67">
      <w:pPr>
        <w:pStyle w:val="3"/>
        <w:kinsoku/>
        <w:autoSpaceDE/>
        <w:autoSpaceDN/>
        <w:spacing w:before="0" w:line="440" w:lineRule="exact"/>
        <w:ind w:right="0" w:rightChars="0" w:firstLine="0" w:firstLineChars="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2"/>
          <w:sz w:val="24"/>
          <w:szCs w:val="24"/>
          <w:highlight w:val="none"/>
          <w:lang w:eastAsia="zh-CN"/>
        </w:rPr>
        <w:t xml:space="preserve">签订日期：                                 </w:t>
      </w:r>
      <w:r>
        <w:rPr>
          <w:rFonts w:hint="eastAsia" w:ascii="仿宋_GB2312" w:hAnsi="仿宋_GB2312" w:eastAsia="仿宋_GB2312" w:cs="仿宋_GB2312"/>
          <w:b/>
          <w:bCs/>
          <w:color w:val="auto"/>
          <w:spacing w:val="-2"/>
          <w:sz w:val="24"/>
          <w:szCs w:val="24"/>
          <w:highlight w:val="none"/>
          <w:lang w:val="en-US" w:eastAsia="zh-CN"/>
        </w:rPr>
        <w:t xml:space="preserve">        </w:t>
      </w:r>
      <w:r>
        <w:rPr>
          <w:rFonts w:hint="eastAsia" w:ascii="仿宋_GB2312" w:hAnsi="仿宋_GB2312" w:eastAsia="仿宋_GB2312" w:cs="仿宋_GB2312"/>
          <w:b/>
          <w:bCs/>
          <w:color w:val="auto"/>
          <w:spacing w:val="-2"/>
          <w:sz w:val="24"/>
          <w:szCs w:val="24"/>
          <w:highlight w:val="none"/>
          <w:lang w:eastAsia="zh-CN"/>
        </w:rPr>
        <w:t>签订日期：</w:t>
      </w:r>
    </w:p>
    <w:sectPr>
      <w:footerReference r:id="rId3" w:type="default"/>
      <w:pgSz w:w="11906" w:h="16839"/>
      <w:pgMar w:top="1140" w:right="931" w:bottom="894" w:left="1095" w:header="0" w:footer="68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13363468-79DD-4CF2-BF7B-5FBA7634EE94}"/>
  </w:font>
  <w:font w:name="仿宋_GB2312">
    <w:panose1 w:val="02010609030101010101"/>
    <w:charset w:val="86"/>
    <w:family w:val="auto"/>
    <w:pitch w:val="default"/>
    <w:sig w:usb0="00000001" w:usb1="080E0000" w:usb2="00000000" w:usb3="00000000" w:csb0="00040000" w:csb1="00000000"/>
    <w:embedRegular r:id="rId2" w:fontKey="{A65E4C91-BD3F-4675-BB9D-64FC97AF40AA}"/>
  </w:font>
  <w:font w:name="方正仿宋_GB2312">
    <w:panose1 w:val="02000000000000000000"/>
    <w:charset w:val="86"/>
    <w:family w:val="auto"/>
    <w:pitch w:val="default"/>
    <w:sig w:usb0="A00002BF" w:usb1="184F6CFA" w:usb2="00000012" w:usb3="00000000" w:csb0="00040001" w:csb1="00000000"/>
    <w:embedRegular r:id="rId3" w:fontKey="{1235EA1A-1E73-4ED1-B212-3C32ED2988AE}"/>
  </w:font>
  <w:font w:name="等线">
    <w:panose1 w:val="02010600030101010101"/>
    <w:charset w:val="86"/>
    <w:family w:val="auto"/>
    <w:pitch w:val="default"/>
    <w:sig w:usb0="A00002BF" w:usb1="38CF7CFA" w:usb2="00000016" w:usb3="00000000" w:csb0="0004000F" w:csb1="00000000"/>
    <w:embedRegular r:id="rId4" w:fontKey="{8B35338B-92CB-49D8-913D-C0E8B25EE6D3}"/>
  </w:font>
  <w:font w:name="WPSEMBED1">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81F55">
    <w:pPr>
      <w:spacing w:line="202" w:lineRule="exact"/>
      <w:ind w:left="4304"/>
      <w:rPr>
        <w:rFonts w:hint="eastAsia" w:ascii="等线" w:hAnsi="等线" w:eastAsia="等线" w:cs="等线"/>
        <w:sz w:val="14"/>
        <w:szCs w:val="14"/>
      </w:rPr>
    </w:pPr>
    <w:r>
      <w:rPr>
        <w:sz w:val="1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9F51E">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089F51E">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1"/>
  <w:bordersDoNotSurroundFooter w:val="1"/>
  <w:trackRevisions w:val="1"/>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12D"/>
    <w:rsid w:val="00317945"/>
    <w:rsid w:val="00423BEC"/>
    <w:rsid w:val="005F7E62"/>
    <w:rsid w:val="00772AAF"/>
    <w:rsid w:val="0082112D"/>
    <w:rsid w:val="0097777F"/>
    <w:rsid w:val="009D629A"/>
    <w:rsid w:val="00A05361"/>
    <w:rsid w:val="00AD207B"/>
    <w:rsid w:val="00BA6071"/>
    <w:rsid w:val="00BC73A0"/>
    <w:rsid w:val="00F44C60"/>
    <w:rsid w:val="00F83538"/>
    <w:rsid w:val="024261A6"/>
    <w:rsid w:val="032558AB"/>
    <w:rsid w:val="03D13D53"/>
    <w:rsid w:val="03FF60FC"/>
    <w:rsid w:val="07D01B5E"/>
    <w:rsid w:val="09C6210A"/>
    <w:rsid w:val="09C7197E"/>
    <w:rsid w:val="0BF64289"/>
    <w:rsid w:val="0CA724BF"/>
    <w:rsid w:val="0CB4364E"/>
    <w:rsid w:val="0CD75A7E"/>
    <w:rsid w:val="0D474670"/>
    <w:rsid w:val="0EE332DB"/>
    <w:rsid w:val="0F3333F7"/>
    <w:rsid w:val="0F916077"/>
    <w:rsid w:val="13CB7DA9"/>
    <w:rsid w:val="14A413F5"/>
    <w:rsid w:val="1E2A7A6F"/>
    <w:rsid w:val="1FA61A41"/>
    <w:rsid w:val="1FCE1C67"/>
    <w:rsid w:val="21A63C04"/>
    <w:rsid w:val="227E692E"/>
    <w:rsid w:val="22C95B68"/>
    <w:rsid w:val="22FC7F25"/>
    <w:rsid w:val="234E594D"/>
    <w:rsid w:val="278F185D"/>
    <w:rsid w:val="2810561B"/>
    <w:rsid w:val="28EB2692"/>
    <w:rsid w:val="290061AA"/>
    <w:rsid w:val="290B6984"/>
    <w:rsid w:val="291E0523"/>
    <w:rsid w:val="29304785"/>
    <w:rsid w:val="2EDC2C8E"/>
    <w:rsid w:val="2F7ED983"/>
    <w:rsid w:val="2FE44B77"/>
    <w:rsid w:val="33226E62"/>
    <w:rsid w:val="353724CD"/>
    <w:rsid w:val="35C87C1A"/>
    <w:rsid w:val="36BE202C"/>
    <w:rsid w:val="38F66DC7"/>
    <w:rsid w:val="3A695C89"/>
    <w:rsid w:val="3C57302A"/>
    <w:rsid w:val="3CE04670"/>
    <w:rsid w:val="3EAB57F7"/>
    <w:rsid w:val="3F6C1B91"/>
    <w:rsid w:val="3F7F0DEC"/>
    <w:rsid w:val="406B3BF6"/>
    <w:rsid w:val="40E65973"/>
    <w:rsid w:val="42BD1361"/>
    <w:rsid w:val="46EF10F8"/>
    <w:rsid w:val="4757B543"/>
    <w:rsid w:val="47700ADD"/>
    <w:rsid w:val="480D1132"/>
    <w:rsid w:val="4A6718D3"/>
    <w:rsid w:val="4A6F7B43"/>
    <w:rsid w:val="4CBD5AF3"/>
    <w:rsid w:val="4DDE44FA"/>
    <w:rsid w:val="4FD11926"/>
    <w:rsid w:val="51DA3877"/>
    <w:rsid w:val="52C638EE"/>
    <w:rsid w:val="567C7C96"/>
    <w:rsid w:val="56E416C2"/>
    <w:rsid w:val="57323268"/>
    <w:rsid w:val="577D2735"/>
    <w:rsid w:val="580D0308"/>
    <w:rsid w:val="59D23BC3"/>
    <w:rsid w:val="5C1A06FD"/>
    <w:rsid w:val="5D9B5012"/>
    <w:rsid w:val="5D9FB2D3"/>
    <w:rsid w:val="5FCF3000"/>
    <w:rsid w:val="60073413"/>
    <w:rsid w:val="61905B49"/>
    <w:rsid w:val="63C11BFC"/>
    <w:rsid w:val="670E2D3A"/>
    <w:rsid w:val="670E4B85"/>
    <w:rsid w:val="686B0388"/>
    <w:rsid w:val="6A083105"/>
    <w:rsid w:val="6A941E18"/>
    <w:rsid w:val="6C6D2921"/>
    <w:rsid w:val="6E566189"/>
    <w:rsid w:val="6EB13826"/>
    <w:rsid w:val="6ECB6C2A"/>
    <w:rsid w:val="6F3B6D06"/>
    <w:rsid w:val="6FD4774C"/>
    <w:rsid w:val="6FF15617"/>
    <w:rsid w:val="70982ACD"/>
    <w:rsid w:val="723E7588"/>
    <w:rsid w:val="72BF47CF"/>
    <w:rsid w:val="72C04D1B"/>
    <w:rsid w:val="75273596"/>
    <w:rsid w:val="75714A88"/>
    <w:rsid w:val="77FED65F"/>
    <w:rsid w:val="79B002F1"/>
    <w:rsid w:val="7B694BFB"/>
    <w:rsid w:val="7BDD4AE9"/>
    <w:rsid w:val="7CBD5008"/>
    <w:rsid w:val="7CF58E0B"/>
    <w:rsid w:val="7DEFEFA9"/>
    <w:rsid w:val="7F7FE01F"/>
    <w:rsid w:val="7FF78AA8"/>
    <w:rsid w:val="ADFFD4A9"/>
    <w:rsid w:val="CF88DCB0"/>
    <w:rsid w:val="DBBF7316"/>
    <w:rsid w:val="DFEBACDF"/>
    <w:rsid w:val="F7FFD255"/>
    <w:rsid w:val="FCDD47E4"/>
    <w:rsid w:val="FFCBA7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style>
  <w:style w:type="paragraph" w:styleId="3">
    <w:name w:val="Body Text"/>
    <w:basedOn w:val="1"/>
    <w:qFormat/>
    <w:uiPriority w:val="0"/>
    <w:rPr>
      <w:rFonts w:ascii="仿宋" w:hAnsi="仿宋" w:eastAsia="仿宋" w:cs="仿宋"/>
      <w:sz w:val="20"/>
      <w:szCs w:val="20"/>
    </w:rPr>
  </w:style>
  <w:style w:type="paragraph" w:styleId="4">
    <w:name w:val="footer"/>
    <w:basedOn w:val="1"/>
    <w:qFormat/>
    <w:uiPriority w:val="0"/>
    <w:pPr>
      <w:tabs>
        <w:tab w:val="center" w:pos="4153"/>
        <w:tab w:val="right" w:pos="8306"/>
      </w:tabs>
    </w:pPr>
    <w:rPr>
      <w:sz w:val="18"/>
    </w:rPr>
  </w:style>
  <w:style w:type="paragraph" w:styleId="5">
    <w:name w:val="Title"/>
    <w:basedOn w:val="1"/>
    <w:next w:val="1"/>
    <w:qFormat/>
    <w:uiPriority w:val="10"/>
    <w:pPr>
      <w:spacing w:before="240" w:after="60"/>
      <w:jc w:val="center"/>
      <w:outlineLvl w:val="0"/>
    </w:pPr>
    <w:rPr>
      <w:b/>
      <w:sz w:val="32"/>
    </w:rPr>
  </w:style>
  <w:style w:type="character" w:styleId="8">
    <w:name w:val="annotation reference"/>
    <w:basedOn w:val="7"/>
    <w:qFormat/>
    <w:uiPriority w:val="0"/>
    <w:rPr>
      <w:sz w:val="21"/>
      <w:szCs w:val="21"/>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修订1"/>
    <w:hidden/>
    <w:unhideWhenUsed/>
    <w:qFormat/>
    <w:uiPriority w:val="99"/>
    <w:rPr>
      <w:rFonts w:ascii="Arial" w:hAnsi="Arial" w:eastAsia="Arial" w:cs="Arial"/>
      <w:snapToGrid w:val="0"/>
      <w:color w:val="000000"/>
      <w:sz w:val="21"/>
      <w:szCs w:val="21"/>
      <w:lang w:val="en-US" w:eastAsia="en-US" w:bidi="ar-SA"/>
    </w:rPr>
  </w:style>
  <w:style w:type="paragraph"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12959</Words>
  <Characters>13596</Characters>
  <Lines>88</Lines>
  <Paragraphs>24</Paragraphs>
  <TotalTime>28</TotalTime>
  <ScaleCrop>false</ScaleCrop>
  <LinksUpToDate>false</LinksUpToDate>
  <CharactersWithSpaces>13657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2025-06-26T23:03:00Z</dcterms:created>
  <dc:creator>Data</dc:creator>
  <cp:lastModifiedBy>L</cp:lastModifiedBy>
  <dcterms:modified xsi:type="dcterms:W3CDTF">2026-10-21T10:14:21Z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2025-06-24T16:31:56Z</vt:filetime>
  </property>
  <property fmtid="{D5CDD505-2E9C-101B-9397-08002B2CF9AE}" pid="4" name="UsrData">
    <vt:lpwstr>685a6277439390001f11d46ewl</vt:lpwstr>
  </property>
  <property fmtid="{D5CDD505-2E9C-101B-9397-08002B2CF9AE}" pid="5" name="KSOProductBuildVer">
    <vt:lpwstr>2052-12.1.0.28505</vt:lpwstr>
  </property>
  <property fmtid="{D5CDD505-2E9C-101B-9397-08002B2CF9AE}" pid="6" name="ICV">
    <vt:lpwstr>702692543AEB443B823CC0D69F65088C_13</vt:lpwstr>
  </property>
  <property fmtid="{D5CDD505-2E9C-101B-9397-08002B2CF9AE}" pid="7" name="KSOTemplateDocerSaveRecord">
    <vt:lpwstr>eyJoZGlkIjoiZGNhYmMwYjgzMzI0ZTgwZGM4ZmQ4ODE2NzYyNzY5N2QiLCJ1c2VySWQiOiI3NDU3MzI3OTMifQ==</vt:lpwstr>
  </property>
</Properties>
</file>