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8E380">
      <w:pPr>
        <w:jc w:val="center"/>
        <w:rPr>
          <w:rFonts w:hint="eastAsia" w:ascii="仿宋" w:hAnsi="仿宋" w:eastAsia="仿宋" w:cs="仿宋"/>
          <w:bCs/>
          <w:color w:val="auto"/>
          <w:sz w:val="36"/>
          <w:szCs w:val="36"/>
          <w:highlight w:val="none"/>
        </w:rPr>
      </w:pPr>
      <w:bookmarkStart w:id="1" w:name="_GoBack"/>
      <w:r>
        <w:rPr>
          <w:rFonts w:hint="eastAsia" w:ascii="仿宋" w:hAnsi="仿宋" w:eastAsia="仿宋" w:cs="仿宋"/>
          <w:bCs/>
          <w:color w:val="auto"/>
          <w:sz w:val="36"/>
          <w:szCs w:val="36"/>
          <w:highlight w:val="none"/>
        </w:rPr>
        <w:t>厦门市旧城保护开发有限公司</w:t>
      </w:r>
    </w:p>
    <w:p w14:paraId="790EF20F">
      <w:pPr>
        <w:jc w:val="center"/>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同安区大同街道城西一里33-34号103单元公房资产公开招租方案</w:t>
      </w:r>
    </w:p>
    <w:p w14:paraId="149166A1">
      <w:pPr>
        <w:spacing w:line="560" w:lineRule="exact"/>
        <w:ind w:firstLine="562" w:firstLineChars="20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lang w:val="en-US" w:eastAsia="zh-CN"/>
        </w:rPr>
        <w:t>一、本项目</w:t>
      </w:r>
      <w:r>
        <w:rPr>
          <w:rFonts w:hint="eastAsia" w:ascii="仿宋" w:hAnsi="仿宋" w:eastAsia="仿宋" w:cs="仿宋"/>
          <w:b/>
          <w:color w:val="auto"/>
          <w:kern w:val="0"/>
          <w:sz w:val="28"/>
          <w:szCs w:val="28"/>
          <w:highlight w:val="none"/>
        </w:rPr>
        <w:t>概况</w:t>
      </w:r>
      <w:r>
        <w:rPr>
          <w:rFonts w:hint="eastAsia" w:ascii="仿宋" w:hAnsi="仿宋" w:eastAsia="仿宋" w:cs="仿宋"/>
          <w:b/>
          <w:color w:val="auto"/>
          <w:kern w:val="0"/>
          <w:sz w:val="28"/>
          <w:szCs w:val="28"/>
          <w:highlight w:val="none"/>
          <w:lang w:val="en-US" w:eastAsia="zh-CN"/>
        </w:rPr>
        <w:t>及招租方式</w:t>
      </w:r>
    </w:p>
    <w:p w14:paraId="75DEFBFC">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厦门市旧城保护开发有限公司（以下简称出租方）拟推出“</w:t>
      </w:r>
      <w:r>
        <w:rPr>
          <w:rFonts w:hint="eastAsia" w:ascii="仿宋" w:hAnsi="仿宋" w:eastAsia="仿宋" w:cs="仿宋"/>
          <w:bCs/>
          <w:color w:val="auto"/>
          <w:sz w:val="28"/>
          <w:szCs w:val="28"/>
          <w:highlight w:val="none"/>
        </w:rPr>
        <w:t>同安区大同街道城西一里33-34号103单元公房资产</w:t>
      </w:r>
      <w:r>
        <w:rPr>
          <w:rFonts w:hint="eastAsia" w:ascii="仿宋" w:hAnsi="仿宋" w:eastAsia="仿宋" w:cs="仿宋"/>
          <w:bCs/>
          <w:color w:val="auto"/>
          <w:sz w:val="28"/>
          <w:szCs w:val="28"/>
          <w:highlight w:val="none"/>
          <w:lang w:val="en-US" w:eastAsia="zh-CN"/>
        </w:rPr>
        <w:t>公开招租</w:t>
      </w:r>
      <w:r>
        <w:rPr>
          <w:rFonts w:hint="eastAsia" w:ascii="仿宋" w:hAnsi="仿宋" w:eastAsia="仿宋" w:cs="仿宋"/>
          <w:bCs/>
          <w:color w:val="auto"/>
          <w:sz w:val="28"/>
          <w:szCs w:val="28"/>
          <w:highlight w:val="none"/>
        </w:rPr>
        <w:t>”项目竞</w:t>
      </w:r>
      <w:r>
        <w:rPr>
          <w:rFonts w:hint="eastAsia" w:ascii="仿宋" w:hAnsi="仿宋" w:eastAsia="仿宋" w:cs="仿宋"/>
          <w:bCs/>
          <w:color w:val="auto"/>
          <w:sz w:val="28"/>
          <w:szCs w:val="28"/>
          <w:highlight w:val="none"/>
          <w:lang w:val="en-US" w:eastAsia="zh-CN"/>
        </w:rPr>
        <w:t>租</w:t>
      </w:r>
      <w:r>
        <w:rPr>
          <w:rFonts w:hint="eastAsia" w:ascii="仿宋" w:hAnsi="仿宋" w:eastAsia="仿宋" w:cs="仿宋"/>
          <w:bCs/>
          <w:color w:val="auto"/>
          <w:sz w:val="28"/>
          <w:szCs w:val="28"/>
          <w:highlight w:val="none"/>
        </w:rPr>
        <w:t>，项目委托福建省海峡拍卖行有限公司（以下简称“</w:t>
      </w:r>
      <w:r>
        <w:rPr>
          <w:rFonts w:hint="eastAsia" w:ascii="仿宋" w:hAnsi="仿宋" w:eastAsia="仿宋" w:cs="仿宋"/>
          <w:bCs/>
          <w:color w:val="auto"/>
          <w:sz w:val="28"/>
          <w:szCs w:val="28"/>
          <w:highlight w:val="none"/>
          <w:lang w:eastAsia="zh-CN"/>
        </w:rPr>
        <w:t>拍卖人</w:t>
      </w:r>
      <w:r>
        <w:rPr>
          <w:rFonts w:hint="eastAsia" w:ascii="仿宋" w:hAnsi="仿宋" w:eastAsia="仿宋" w:cs="仿宋"/>
          <w:bCs/>
          <w:color w:val="auto"/>
          <w:sz w:val="28"/>
          <w:szCs w:val="28"/>
          <w:highlight w:val="none"/>
        </w:rPr>
        <w:t>”）进行公开</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，报名结束后出租方对办理登记的意向</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人开展资格审查，经审查后符合</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资格的</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人方可参与网络竞价。网络竞价时以价高者得的原则确定最终承租方。</w:t>
      </w:r>
    </w:p>
    <w:p w14:paraId="634B46D0">
      <w:pPr>
        <w:spacing w:line="560" w:lineRule="exact"/>
        <w:ind w:firstLine="562" w:firstLineChars="20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lang w:val="en-US" w:eastAsia="zh-CN"/>
        </w:rPr>
        <w:t>二、</w:t>
      </w:r>
      <w:r>
        <w:rPr>
          <w:rFonts w:hint="eastAsia" w:ascii="仿宋" w:hAnsi="仿宋" w:eastAsia="仿宋" w:cs="仿宋"/>
          <w:b/>
          <w:color w:val="auto"/>
          <w:kern w:val="0"/>
          <w:sz w:val="28"/>
          <w:szCs w:val="28"/>
          <w:highlight w:val="none"/>
        </w:rPr>
        <w:t>标的房屋基本信息、租金底价、租金支付方式、装修培育期</w:t>
      </w:r>
    </w:p>
    <w:p w14:paraId="25C7A397">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lang w:val="en-US" w:eastAsia="zh-CN"/>
        </w:rPr>
        <w:t>竞</w:t>
      </w:r>
      <w:r>
        <w:rPr>
          <w:rFonts w:hint="eastAsia" w:ascii="仿宋" w:hAnsi="仿宋" w:eastAsia="仿宋" w:cs="仿宋"/>
          <w:bCs/>
          <w:color w:val="auto"/>
          <w:sz w:val="28"/>
          <w:szCs w:val="28"/>
          <w:highlight w:val="none"/>
        </w:rPr>
        <w:t>租标的建筑面积、用途、租赁年限、装修培育期及租金底价详见《竞</w:t>
      </w:r>
      <w:r>
        <w:rPr>
          <w:rFonts w:hint="eastAsia" w:ascii="仿宋" w:hAnsi="仿宋" w:eastAsia="仿宋" w:cs="仿宋"/>
          <w:bCs/>
          <w:color w:val="auto"/>
          <w:sz w:val="28"/>
          <w:szCs w:val="28"/>
          <w:highlight w:val="none"/>
          <w:lang w:val="en-US" w:eastAsia="zh-CN"/>
        </w:rPr>
        <w:t>租</w:t>
      </w:r>
      <w:r>
        <w:rPr>
          <w:rFonts w:hint="eastAsia" w:ascii="仿宋" w:hAnsi="仿宋" w:eastAsia="仿宋" w:cs="仿宋"/>
          <w:bCs/>
          <w:color w:val="auto"/>
          <w:sz w:val="28"/>
          <w:szCs w:val="28"/>
          <w:highlight w:val="none"/>
        </w:rPr>
        <w:t>清单》。</w:t>
      </w:r>
    </w:p>
    <w:p w14:paraId="6956E565">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w:t>
      </w:r>
      <w:bookmarkStart w:id="0" w:name="OLE_LINK15"/>
      <w:r>
        <w:rPr>
          <w:rFonts w:hint="eastAsia" w:ascii="仿宋" w:hAnsi="仿宋" w:eastAsia="仿宋" w:cs="仿宋"/>
          <w:bCs/>
          <w:color w:val="auto"/>
          <w:sz w:val="28"/>
          <w:szCs w:val="28"/>
          <w:highlight w:val="none"/>
        </w:rPr>
        <w:t>租金缴交方式为预付方式，每个月结算一次，首月装修培育期租金应于租赁合同签订之日支付，其余租金在上一个租金结算期结束之日的5日前付清，逾期不交或所交金额不足的，承租方应承担拖欠租金的违约责任（详见《房屋租赁合同》）。承租方在与出租方签订《房屋租赁合同》前，须一次性向出租方支付竞得标的最后一个计租年度3个月租金（以租期内最高月租金计算）作为租赁合同履约保证金，以及竞得标的的首月租金。</w:t>
      </w:r>
    </w:p>
    <w:bookmarkEnd w:id="0"/>
    <w:p w14:paraId="68B8A52D">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3.免租期通过在装修培育期中减少租金金额实现。100平方米以下的免租期金额实际分摊至3个月的装修培育期内，100平方米以上的免租期金额实际分摊至9个月的装修培育期内。</w:t>
      </w:r>
      <w:r>
        <w:rPr>
          <w:rFonts w:hint="eastAsia" w:ascii="仿宋" w:hAnsi="仿宋" w:eastAsia="仿宋" w:cs="仿宋"/>
          <w:bCs/>
          <w:color w:val="auto"/>
          <w:sz w:val="28"/>
          <w:szCs w:val="28"/>
          <w:highlight w:val="none"/>
          <w:lang w:val="en-US" w:eastAsia="zh-CN"/>
        </w:rPr>
        <w:t>各标的免租期详见《竞租清单》。</w:t>
      </w:r>
    </w:p>
    <w:p w14:paraId="72979198">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4.租金递增方式：第二年起，月租金在上年度月租金的基础上逐年递增</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具体约定详见《房屋租赁合同》。</w:t>
      </w:r>
    </w:p>
    <w:p w14:paraId="31E0FB42">
      <w:pPr>
        <w:spacing w:line="560" w:lineRule="exact"/>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w:t>
      </w:r>
      <w:r>
        <w:rPr>
          <w:rFonts w:hint="eastAsia" w:ascii="仿宋" w:hAnsi="仿宋" w:eastAsia="仿宋" w:cs="仿宋"/>
          <w:b/>
          <w:bCs/>
          <w:color w:val="auto"/>
          <w:sz w:val="28"/>
          <w:szCs w:val="28"/>
          <w:highlight w:val="none"/>
          <w:lang w:eastAsia="zh-CN"/>
        </w:rPr>
        <w:t>竞租</w:t>
      </w:r>
      <w:r>
        <w:rPr>
          <w:rFonts w:hint="eastAsia" w:ascii="仿宋" w:hAnsi="仿宋" w:eastAsia="仿宋" w:cs="仿宋"/>
          <w:b/>
          <w:bCs/>
          <w:color w:val="auto"/>
          <w:sz w:val="28"/>
          <w:szCs w:val="28"/>
          <w:highlight w:val="none"/>
        </w:rPr>
        <w:t>人资格要求</w:t>
      </w:r>
    </w:p>
    <w:p w14:paraId="2BAE202C">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人必须是在中华人民共和国合法注册的独立法人/其他组织或具有法律规定的完全民事行为能力的中国公民。</w:t>
      </w:r>
    </w:p>
    <w:p w14:paraId="3E43F1D9">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2</w:t>
      </w:r>
      <w:r>
        <w:rPr>
          <w:rFonts w:hint="eastAsia" w:ascii="仿宋" w:hAnsi="仿宋" w:eastAsia="仿宋" w:cs="仿宋"/>
          <w:bCs/>
          <w:color w:val="auto"/>
          <w:sz w:val="28"/>
          <w:szCs w:val="28"/>
          <w:highlight w:val="none"/>
        </w:rPr>
        <w:t>.具有以下情形之一的</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人不具备</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资格，其</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将被拒绝：</w:t>
      </w:r>
    </w:p>
    <w:p w14:paraId="0527524C">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（1）在“信用中国”网站（www.creditchina.gov.cn）、“中国执行信息公开网”（zxgk.court.gov.cn),被列入执行名单的</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人；</w:t>
      </w:r>
    </w:p>
    <w:p w14:paraId="1B558D84">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（2）与厦门市直管公房管理及经营单位有过或正涉诉讼或执行案件的单位或个人；</w:t>
      </w:r>
    </w:p>
    <w:p w14:paraId="7B5BAD3A">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（3）租用出租方其他房产存在拖欠租金情况的；</w:t>
      </w:r>
    </w:p>
    <w:p w14:paraId="3B9F40D1">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（4）被列入安居控股集团承租信用体系负面名单的企业、团体或个人，不得参与租赁意向报名并不得承租或续租安居控股集团及其所出资企业资产。</w:t>
      </w:r>
    </w:p>
    <w:p w14:paraId="4761A3EA">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人申请报名时必须确认本招租方案及所有附件文件，包括但不仅限于《</w:t>
      </w:r>
      <w:r>
        <w:rPr>
          <w:rFonts w:hint="eastAsia" w:ascii="仿宋" w:hAnsi="仿宋" w:eastAsia="仿宋" w:cs="仿宋"/>
          <w:bCs/>
          <w:color w:val="auto"/>
          <w:sz w:val="28"/>
          <w:szCs w:val="28"/>
          <w:highlight w:val="none"/>
          <w:lang w:val="en-US" w:eastAsia="zh-CN"/>
        </w:rPr>
        <w:t>竞租</w:t>
      </w:r>
      <w:r>
        <w:rPr>
          <w:rFonts w:hint="eastAsia" w:ascii="仿宋" w:hAnsi="仿宋" w:eastAsia="仿宋" w:cs="仿宋"/>
          <w:bCs/>
          <w:color w:val="auto"/>
          <w:sz w:val="28"/>
          <w:szCs w:val="28"/>
          <w:highlight w:val="none"/>
        </w:rPr>
        <w:t>清单》、《房屋租赁合同》样稿、《现场踏勘与重要事项披露及权责与义务知晓确认书》。</w:t>
      </w:r>
    </w:p>
    <w:p w14:paraId="28897E1C">
      <w:pPr>
        <w:spacing w:line="56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4</w:t>
      </w:r>
      <w:r>
        <w:rPr>
          <w:rFonts w:hint="eastAsia" w:ascii="仿宋" w:hAnsi="仿宋" w:eastAsia="仿宋" w:cs="仿宋"/>
          <w:bCs/>
          <w:color w:val="auto"/>
          <w:sz w:val="28"/>
          <w:szCs w:val="28"/>
          <w:highlight w:val="none"/>
        </w:rPr>
        <w:t>.不允许联合竞租。</w:t>
      </w:r>
    </w:p>
    <w:p w14:paraId="482A5BCD">
      <w:pPr>
        <w:spacing w:line="560" w:lineRule="exact"/>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四、</w:t>
      </w:r>
      <w:r>
        <w:rPr>
          <w:rFonts w:hint="eastAsia" w:ascii="仿宋" w:hAnsi="仿宋" w:eastAsia="仿宋" w:cs="仿宋"/>
          <w:b/>
          <w:color w:val="auto"/>
          <w:sz w:val="28"/>
          <w:szCs w:val="28"/>
          <w:highlight w:val="none"/>
          <w:lang w:eastAsia="zh-CN"/>
        </w:rPr>
        <w:t>竞租</w:t>
      </w:r>
      <w:r>
        <w:rPr>
          <w:rFonts w:hint="eastAsia" w:ascii="仿宋" w:hAnsi="仿宋" w:eastAsia="仿宋" w:cs="仿宋"/>
          <w:b/>
          <w:color w:val="auto"/>
          <w:sz w:val="28"/>
          <w:szCs w:val="28"/>
          <w:highlight w:val="none"/>
        </w:rPr>
        <w:t>人办理登记时应提交的资格审查材料</w:t>
      </w:r>
    </w:p>
    <w:p w14:paraId="7C822827">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人是法人或其他组织的，须提供营业执照副本或有效证明文件。若</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代表非企业法定代表人（或负责人）的，须提供该企业法人的授权委托书原件，</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代表和企业法定代表人（或负责人）需提供身份证有效复印件，以上资格证明文件为复印件的须加盖企业公章，且原件备查；</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人是自然人的须提供有效的身份证明材料。</w:t>
      </w:r>
    </w:p>
    <w:p w14:paraId="11B0BBED">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2.向</w:t>
      </w:r>
      <w:r>
        <w:rPr>
          <w:rFonts w:hint="eastAsia" w:ascii="仿宋" w:hAnsi="仿宋" w:eastAsia="仿宋" w:cs="仿宋"/>
          <w:bCs/>
          <w:color w:val="auto"/>
          <w:sz w:val="28"/>
          <w:szCs w:val="28"/>
          <w:highlight w:val="none"/>
          <w:lang w:eastAsia="zh-CN"/>
        </w:rPr>
        <w:t>拍卖人</w:t>
      </w:r>
      <w:r>
        <w:rPr>
          <w:rFonts w:hint="eastAsia" w:ascii="仿宋" w:hAnsi="仿宋" w:eastAsia="仿宋" w:cs="仿宋"/>
          <w:color w:val="auto"/>
          <w:sz w:val="28"/>
          <w:szCs w:val="28"/>
          <w:highlight w:val="none"/>
        </w:rPr>
        <w:t>提供</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保证金缴交凭证。</w:t>
      </w:r>
    </w:p>
    <w:p w14:paraId="7C491DF2">
      <w:pPr>
        <w:pStyle w:val="4"/>
        <w:widowControl/>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bCs/>
          <w:color w:val="auto"/>
          <w:sz w:val="28"/>
          <w:szCs w:val="28"/>
          <w:highlight w:val="none"/>
          <w:lang w:eastAsia="zh-CN"/>
        </w:rPr>
        <w:t>竞租</w:t>
      </w:r>
      <w:r>
        <w:rPr>
          <w:rFonts w:hint="eastAsia" w:ascii="仿宋" w:hAnsi="仿宋" w:eastAsia="仿宋" w:cs="仿宋"/>
          <w:bCs/>
          <w:color w:val="auto"/>
          <w:sz w:val="28"/>
          <w:szCs w:val="28"/>
          <w:highlight w:val="none"/>
        </w:rPr>
        <w:t>人须提供如下网站查询截图：</w:t>
      </w:r>
    </w:p>
    <w:p w14:paraId="231FB7A9">
      <w:pPr>
        <w:pStyle w:val="4"/>
        <w:widowControl/>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color w:val="auto"/>
          <w:sz w:val="28"/>
          <w:szCs w:val="28"/>
          <w:highlight w:val="none"/>
        </w:rPr>
        <w:t>提供“信用中国”官方网站获取的“严重失信主体名单查询 ”查询截图（需按证件号查询）；</w:t>
      </w:r>
    </w:p>
    <w:p w14:paraId="440A6AD9">
      <w:pPr>
        <w:pStyle w:val="4"/>
        <w:widowControl/>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（2）</w:t>
      </w:r>
      <w:r>
        <w:rPr>
          <w:rFonts w:hint="eastAsia" w:ascii="仿宋" w:hAnsi="仿宋" w:eastAsia="仿宋" w:cs="仿宋"/>
          <w:color w:val="auto"/>
          <w:sz w:val="28"/>
          <w:szCs w:val="28"/>
          <w:highlight w:val="none"/>
        </w:rPr>
        <w:t>提供“中国执行信息公开网”官方网站获取的“综合查询被执行人”查询截图（需按证件号查询）。</w:t>
      </w:r>
    </w:p>
    <w:p w14:paraId="125223B0">
      <w:pPr>
        <w:pStyle w:val="4"/>
        <w:widowControl/>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上述截图查询日期均在报名截止日（含当日）前10 个工作日内。</w:t>
      </w:r>
    </w:p>
    <w:p w14:paraId="7849C38F">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.提供《现场踏勘与重要事项披露及权责与义务知晓确认书》。</w:t>
      </w:r>
    </w:p>
    <w:p w14:paraId="64F4A445">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以上材料若为法人或其他组织提供的须盖章，多页的须骑缝盖章；若意向方为自然人的，提供的材料须签字并盖手印，多页的须骑缝签字并盖手印；提供的材料中涉及担保人的，担保人须签字并盖手印。</w:t>
      </w:r>
    </w:p>
    <w:p w14:paraId="6FDC1C47">
      <w:pPr>
        <w:spacing w:line="560" w:lineRule="exact"/>
        <w:ind w:firstLine="562" w:firstLineChars="200"/>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五、资格审查</w:t>
      </w:r>
      <w:r>
        <w:rPr>
          <w:rFonts w:hint="eastAsia" w:ascii="仿宋" w:hAnsi="仿宋" w:eastAsia="仿宋" w:cs="仿宋"/>
          <w:color w:val="auto"/>
          <w:sz w:val="28"/>
          <w:szCs w:val="28"/>
          <w:highlight w:val="none"/>
        </w:rPr>
        <w:t xml:space="preserve"> </w:t>
      </w:r>
    </w:p>
    <w:p w14:paraId="5E6A05F9">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出租方负责审查拟参加</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申请人提交的资格审查资料。拟参加</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申请人被确认符合资格条件后，方可参加本次</w:t>
      </w:r>
      <w:r>
        <w:rPr>
          <w:rFonts w:hint="eastAsia" w:ascii="仿宋" w:hAnsi="仿宋" w:eastAsia="仿宋" w:cs="仿宋"/>
          <w:bCs/>
          <w:color w:val="auto"/>
          <w:kern w:val="0"/>
          <w:sz w:val="28"/>
          <w:szCs w:val="28"/>
          <w:highlight w:val="none"/>
        </w:rPr>
        <w:t>公房短租资产公开招租</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活动。</w:t>
      </w:r>
    </w:p>
    <w:p w14:paraId="5717B2A0">
      <w:pPr>
        <w:spacing w:line="560" w:lineRule="exact"/>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六、特别事项</w:t>
      </w:r>
    </w:p>
    <w:p w14:paraId="2F4FE2E4">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保证金金额详见《</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清单》。</w:t>
      </w:r>
    </w:p>
    <w:p w14:paraId="21FB0BF3">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2.应支付</w:t>
      </w:r>
      <w:r>
        <w:rPr>
          <w:rFonts w:hint="eastAsia" w:ascii="仿宋" w:hAnsi="仿宋" w:eastAsia="仿宋" w:cs="仿宋"/>
          <w:bCs/>
          <w:color w:val="auto"/>
          <w:sz w:val="28"/>
          <w:szCs w:val="28"/>
          <w:highlight w:val="none"/>
          <w:lang w:eastAsia="zh-CN"/>
        </w:rPr>
        <w:t>拍卖人</w:t>
      </w:r>
      <w:r>
        <w:rPr>
          <w:rFonts w:hint="eastAsia" w:ascii="仿宋" w:hAnsi="仿宋" w:eastAsia="仿宋" w:cs="仿宋"/>
          <w:color w:val="auto"/>
          <w:sz w:val="28"/>
          <w:szCs w:val="28"/>
          <w:highlight w:val="none"/>
        </w:rPr>
        <w:t>佣金由承租方承担。</w:t>
      </w:r>
    </w:p>
    <w:p w14:paraId="56926508">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成交人</w:t>
      </w:r>
      <w:r>
        <w:rPr>
          <w:rFonts w:hint="eastAsia" w:ascii="仿宋" w:hAnsi="仿宋" w:eastAsia="仿宋" w:cs="仿宋"/>
          <w:color w:val="auto"/>
          <w:sz w:val="28"/>
          <w:szCs w:val="28"/>
          <w:highlight w:val="none"/>
        </w:rPr>
        <w:t>（承租方）在与出租方签订《房屋租赁合同》之日，应一次性向出租方支付竞得标的最后一个计租年度3个月租金（以租期内最高月租金计算）作为租赁合同履约保证金以及竞得标的的首月租金。承租方原缴</w:t>
      </w:r>
      <w:r>
        <w:rPr>
          <w:rFonts w:hint="eastAsia" w:ascii="仿宋" w:hAnsi="仿宋" w:eastAsia="仿宋" w:cs="仿宋"/>
          <w:bCs/>
          <w:color w:val="auto"/>
          <w:sz w:val="28"/>
          <w:szCs w:val="28"/>
          <w:highlight w:val="none"/>
          <w:lang w:eastAsia="zh-CN"/>
        </w:rPr>
        <w:t>拍卖人</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保证金，在承租方与出租方签订《房屋租赁合同》并付清首期租金及租赁履约保证金后，扣除应缴</w:t>
      </w:r>
      <w:r>
        <w:rPr>
          <w:rFonts w:hint="eastAsia" w:ascii="仿宋" w:hAnsi="仿宋" w:eastAsia="仿宋" w:cs="仿宋"/>
          <w:bCs/>
          <w:color w:val="auto"/>
          <w:sz w:val="28"/>
          <w:szCs w:val="28"/>
          <w:highlight w:val="none"/>
          <w:lang w:eastAsia="zh-CN"/>
        </w:rPr>
        <w:t>拍卖人</w:t>
      </w:r>
      <w:r>
        <w:rPr>
          <w:rFonts w:hint="eastAsia" w:ascii="仿宋" w:hAnsi="仿宋" w:eastAsia="仿宋" w:cs="仿宋"/>
          <w:color w:val="auto"/>
          <w:sz w:val="28"/>
          <w:szCs w:val="28"/>
          <w:highlight w:val="none"/>
        </w:rPr>
        <w:t>的佣金后余额则无息退还给承租方。</w:t>
      </w:r>
    </w:p>
    <w:p w14:paraId="25673129">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4.租赁业态要求</w:t>
      </w:r>
    </w:p>
    <w:p w14:paraId="177288FC">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租赁标的业态详见《</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清单》。</w:t>
      </w:r>
    </w:p>
    <w:p w14:paraId="7FBF4C6F">
      <w:pPr>
        <w:spacing w:line="56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设置业态为商业的，且不接受如下经营业态：存在一定边界噪声的营业性娱乐行业，如歌舞厅、夜总会等；易燃易爆等危险化学品经营；废品回收站、用于居住使用及其他有违反宪法确定的基本原则内容以及其他有损人民群众身心健康内容的文化娱乐经营活动。</w:t>
      </w:r>
    </w:p>
    <w:p w14:paraId="56A7BCCE">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承租方须在签订《房屋租赁合同》时明确其租赁期间从事的经营业态，并承诺在起租后三个月内递交营业执照至出租方备案，如需变更经营业态的，承租方将至有关部门（包括但不限于市场监管、公安、消防、特种行业管理等部门）办理登记或审批手续，并向出租方提供登记或审批后的营业执照及相关资质证明材料进行备案，承租方办妥前述手续并向出租方备案前不实际变更经营业态。在合同履约过程中若承租方违反上述约定的，出租方有权利没收履约保证金并终止租赁合同，其后果由承租方承担。</w:t>
      </w:r>
    </w:p>
    <w:p w14:paraId="64441BBA">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标的成交后进行结果公示（3个工作日），承租方须在结果公示结束后7个工作日内做好签约准备，具体签约时间以出租方通知为准。承租方未按规定的时间与出租方签订合同的，视承租方违约，出租方有权取消承租方的承租资格并将房屋再次公开招租，承租方已缴的保证金不予退还，因承租方未履行签约义务而给出租方造成损失的，由承租方向出租方进行赔偿。</w:t>
      </w:r>
    </w:p>
    <w:p w14:paraId="5451FB47">
      <w:pPr>
        <w:spacing w:line="560" w:lineRule="exact"/>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如出租方未能在房屋成交后60天内组织签订租赁合同，承租方必须放弃对标的房屋的承租权，且承租方不得向出租方提出任何权益主张。</w:t>
      </w:r>
    </w:p>
    <w:p w14:paraId="7EDEFC84">
      <w:pPr>
        <w:spacing w:line="560" w:lineRule="exact"/>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七、房屋踏勘及其他要求</w:t>
      </w:r>
    </w:p>
    <w:p w14:paraId="418B7A6D">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招租公告发布后，有意参加公开</w:t>
      </w:r>
      <w:r>
        <w:rPr>
          <w:rFonts w:hint="eastAsia" w:ascii="仿宋" w:hAnsi="仿宋" w:eastAsia="仿宋" w:cs="仿宋"/>
          <w:color w:val="auto"/>
          <w:sz w:val="28"/>
          <w:szCs w:val="28"/>
          <w:highlight w:val="none"/>
          <w:lang w:eastAsia="zh-CN"/>
        </w:rPr>
        <w:t>竞租</w:t>
      </w:r>
      <w:r>
        <w:rPr>
          <w:rFonts w:hint="eastAsia" w:ascii="仿宋" w:hAnsi="仿宋" w:eastAsia="仿宋" w:cs="仿宋"/>
          <w:color w:val="auto"/>
          <w:sz w:val="28"/>
          <w:szCs w:val="28"/>
          <w:highlight w:val="none"/>
        </w:rPr>
        <w:t>的意向人，在向</w:t>
      </w:r>
      <w:r>
        <w:rPr>
          <w:rFonts w:hint="eastAsia" w:ascii="仿宋" w:hAnsi="仿宋" w:eastAsia="仿宋" w:cs="仿宋"/>
          <w:bCs/>
          <w:color w:val="auto"/>
          <w:sz w:val="28"/>
          <w:szCs w:val="28"/>
          <w:highlight w:val="none"/>
          <w:lang w:eastAsia="zh-CN"/>
        </w:rPr>
        <w:t>拍卖人</w:t>
      </w:r>
      <w:r>
        <w:rPr>
          <w:rFonts w:hint="eastAsia" w:ascii="仿宋" w:hAnsi="仿宋" w:eastAsia="仿宋" w:cs="仿宋"/>
          <w:color w:val="auto"/>
          <w:sz w:val="28"/>
          <w:szCs w:val="28"/>
          <w:highlight w:val="none"/>
        </w:rPr>
        <w:t>办理登记时，应对拟出租房产、附属设施及其周围环境等先进行勘察，了解招租房屋的现状（包括瑕疵），办理登记时须确认且向</w:t>
      </w:r>
      <w:r>
        <w:rPr>
          <w:rFonts w:hint="eastAsia" w:ascii="仿宋" w:hAnsi="仿宋" w:eastAsia="仿宋" w:cs="仿宋"/>
          <w:color w:val="auto"/>
          <w:sz w:val="28"/>
          <w:szCs w:val="28"/>
          <w:highlight w:val="none"/>
          <w:lang w:eastAsia="zh-CN"/>
        </w:rPr>
        <w:t>拍卖人</w:t>
      </w:r>
      <w:r>
        <w:rPr>
          <w:rFonts w:hint="eastAsia" w:ascii="仿宋" w:hAnsi="仿宋" w:eastAsia="仿宋" w:cs="仿宋"/>
          <w:color w:val="auto"/>
          <w:sz w:val="28"/>
          <w:szCs w:val="28"/>
          <w:highlight w:val="none"/>
        </w:rPr>
        <w:t>签署提交登记材料及招租房屋《现场踏勘与重要事项披露及权责与义务知晓确认书》，签订该确认书后意向人须对标的面积、水电、房屋现状予以确认，后续如产生异议及损失，请自行承担。出租方将为所有意向人现场勘察提供方便，但现场勘察所发生的费用（包括但不局限于交通费等）应由意向人自己承担。</w:t>
      </w:r>
    </w:p>
    <w:p w14:paraId="44470249">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本招租方案的内容和约定如与《房屋租赁合同》不一致的地方，以《房屋租赁合同》的内容和约定为准。</w:t>
      </w:r>
    </w:p>
    <w:p w14:paraId="540EAA4D">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附件：1.《房屋租赁合同》样稿</w:t>
      </w:r>
    </w:p>
    <w:p w14:paraId="042E1271">
      <w:pPr>
        <w:spacing w:line="56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2.《现场踏勘与重要事项披露及权责与义务知晓确认书》</w:t>
      </w:r>
    </w:p>
    <w:p w14:paraId="3D1B34CD">
      <w:pPr>
        <w:spacing w:line="560" w:lineRule="exact"/>
        <w:rPr>
          <w:rFonts w:hint="eastAsia" w:ascii="仿宋" w:hAnsi="仿宋" w:eastAsia="仿宋" w:cs="仿宋"/>
          <w:color w:val="auto"/>
          <w:sz w:val="28"/>
          <w:szCs w:val="28"/>
          <w:highlight w:val="none"/>
        </w:rPr>
      </w:pPr>
    </w:p>
    <w:p w14:paraId="5FC5E67A">
      <w:pPr>
        <w:spacing w:line="560" w:lineRule="exact"/>
        <w:rPr>
          <w:rFonts w:hint="eastAsia" w:ascii="仿宋" w:hAnsi="仿宋" w:eastAsia="仿宋" w:cs="仿宋"/>
          <w:color w:val="auto"/>
          <w:sz w:val="28"/>
          <w:szCs w:val="28"/>
          <w:highlight w:val="none"/>
        </w:rPr>
      </w:pPr>
    </w:p>
    <w:p w14:paraId="6768616A">
      <w:pPr>
        <w:spacing w:line="560" w:lineRule="exact"/>
        <w:rPr>
          <w:rFonts w:hint="eastAsia" w:ascii="仿宋" w:hAnsi="仿宋" w:eastAsia="仿宋" w:cs="仿宋"/>
          <w:color w:val="auto"/>
          <w:sz w:val="28"/>
          <w:szCs w:val="28"/>
          <w:highlight w:val="none"/>
        </w:rPr>
      </w:pPr>
    </w:p>
    <w:p w14:paraId="4716806E">
      <w:pPr>
        <w:spacing w:line="560" w:lineRule="exact"/>
        <w:ind w:firstLine="200"/>
        <w:jc w:val="righ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厦门市旧城保护开发有限公司</w:t>
      </w:r>
    </w:p>
    <w:p w14:paraId="7F165D58">
      <w:pPr>
        <w:spacing w:line="560" w:lineRule="exact"/>
        <w:ind w:firstLine="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rPr>
        <w:t>202</w:t>
      </w: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年</w:t>
      </w:r>
      <w:r>
        <w:rPr>
          <w:rFonts w:hint="eastAsia" w:ascii="仿宋" w:hAnsi="仿宋" w:eastAsia="仿宋" w:cs="仿宋"/>
          <w:bCs/>
          <w:color w:val="auto"/>
          <w:sz w:val="28"/>
          <w:szCs w:val="28"/>
          <w:highlight w:val="none"/>
          <w:lang w:val="en-US" w:eastAsia="zh-CN"/>
        </w:rPr>
        <w:t>9</w:t>
      </w:r>
      <w:r>
        <w:rPr>
          <w:rFonts w:hint="eastAsia" w:ascii="仿宋" w:hAnsi="仿宋" w:eastAsia="仿宋" w:cs="仿宋"/>
          <w:bCs/>
          <w:color w:val="auto"/>
          <w:sz w:val="28"/>
          <w:szCs w:val="28"/>
          <w:highlight w:val="none"/>
        </w:rPr>
        <w:t>月</w:t>
      </w:r>
      <w:r>
        <w:rPr>
          <w:rFonts w:hint="eastAsia" w:ascii="仿宋" w:hAnsi="仿宋" w:eastAsia="仿宋" w:cs="仿宋"/>
          <w:bCs/>
          <w:color w:val="auto"/>
          <w:sz w:val="28"/>
          <w:szCs w:val="28"/>
          <w:highlight w:val="none"/>
          <w:lang w:val="en-US" w:eastAsia="zh-CN"/>
        </w:rPr>
        <w:t>30</w:t>
      </w:r>
      <w:r>
        <w:rPr>
          <w:rFonts w:hint="eastAsia" w:ascii="仿宋" w:hAnsi="仿宋" w:eastAsia="仿宋" w:cs="仿宋"/>
          <w:bCs/>
          <w:color w:val="auto"/>
          <w:sz w:val="28"/>
          <w:szCs w:val="28"/>
          <w:highlight w:val="none"/>
        </w:rPr>
        <w:t>日</w:t>
      </w:r>
    </w:p>
    <w:p w14:paraId="3B4FCA61">
      <w:pPr>
        <w:spacing w:line="560" w:lineRule="exact"/>
        <w:ind w:firstLine="562" w:firstLineChars="200"/>
        <w:rPr>
          <w:rFonts w:hint="eastAsia" w:ascii="仿宋" w:hAnsi="仿宋" w:eastAsia="仿宋" w:cs="仿宋"/>
          <w:b/>
          <w:bCs/>
          <w:color w:val="auto"/>
          <w:sz w:val="28"/>
          <w:szCs w:val="28"/>
          <w:highlight w:val="none"/>
        </w:rPr>
      </w:pPr>
    </w:p>
    <w:p w14:paraId="4C466FC7">
      <w:pPr>
        <w:spacing w:line="560" w:lineRule="exact"/>
        <w:ind w:firstLine="560" w:firstLineChars="200"/>
        <w:rPr>
          <w:rFonts w:hint="eastAsia" w:ascii="仿宋" w:hAnsi="仿宋" w:eastAsia="仿宋" w:cs="仿宋"/>
          <w:color w:val="auto"/>
          <w:sz w:val="28"/>
          <w:szCs w:val="28"/>
          <w:highlight w:val="none"/>
        </w:rPr>
      </w:pPr>
    </w:p>
    <w:p w14:paraId="0DA1F47F">
      <w:pPr>
        <w:spacing w:line="560" w:lineRule="exact"/>
        <w:ind w:firstLine="560" w:firstLineChars="200"/>
        <w:rPr>
          <w:rFonts w:hint="eastAsia" w:ascii="仿宋" w:hAnsi="仿宋" w:eastAsia="仿宋" w:cs="仿宋"/>
          <w:bCs/>
          <w:color w:val="auto"/>
          <w:sz w:val="28"/>
          <w:szCs w:val="28"/>
          <w:highlight w:val="none"/>
        </w:rPr>
      </w:pP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FC32D4"/>
    <w:multiLevelType w:val="multilevel"/>
    <w:tmpl w:val="17FC32D4"/>
    <w:lvl w:ilvl="0" w:tentative="0">
      <w:start w:val="1"/>
      <w:numFmt w:val="decimalZero"/>
      <w:suff w:val="nothing"/>
      <w:lvlText w:val="%1"/>
      <w:lvlJc w:val="left"/>
      <w:pPr>
        <w:ind w:left="420" w:hanging="420"/>
      </w:pPr>
      <w:rPr>
        <w:rFonts w:hint="eastAsia"/>
      </w:rPr>
    </w:lvl>
    <w:lvl w:ilvl="1" w:tentative="0">
      <w:start w:val="1"/>
      <w:numFmt w:val="chineseCountingThousand"/>
      <w:lvlRestart w:val="0"/>
      <w:pStyle w:val="3"/>
      <w:suff w:val="space"/>
      <w:lvlText w:val="第%2章"/>
      <w:lvlJc w:val="left"/>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4CA0E3C9"/>
    <w:multiLevelType w:val="multilevel"/>
    <w:tmpl w:val="4CA0E3C9"/>
    <w:lvl w:ilvl="0" w:tentative="0">
      <w:start w:val="1"/>
      <w:numFmt w:val="none"/>
      <w:pStyle w:val="2"/>
      <w:suff w:val="nothing"/>
      <w:lvlText w:val="%1"/>
      <w:lvlJc w:val="left"/>
      <w:pPr>
        <w:ind w:left="0" w:firstLine="0"/>
      </w:pPr>
      <w:rPr>
        <w:rFonts w:hint="eastAsia"/>
      </w:rPr>
    </w:lvl>
    <w:lvl w:ilvl="1" w:tentative="0">
      <w:start w:val="1"/>
      <w:numFmt w:val="chineseCountingThousand"/>
      <w:lvlRestart w:val="0"/>
      <w:pStyle w:val="9"/>
      <w:suff w:val="space"/>
      <w:lvlText w:val="第%2条"/>
      <w:lvlJc w:val="left"/>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B566E7"/>
    <w:rsid w:val="01537BBF"/>
    <w:rsid w:val="03F25F38"/>
    <w:rsid w:val="14027A17"/>
    <w:rsid w:val="174A6A66"/>
    <w:rsid w:val="28852DDF"/>
    <w:rsid w:val="2CA42CDE"/>
    <w:rsid w:val="30A171AB"/>
    <w:rsid w:val="3A0B0650"/>
    <w:rsid w:val="405B0581"/>
    <w:rsid w:val="4C613EDC"/>
    <w:rsid w:val="52B566E7"/>
    <w:rsid w:val="58AD1D1A"/>
    <w:rsid w:val="5A037338"/>
    <w:rsid w:val="614E1A66"/>
    <w:rsid w:val="62526C8F"/>
    <w:rsid w:val="6FCD5FA5"/>
    <w:rsid w:val="719F71A9"/>
    <w:rsid w:val="730C19BB"/>
    <w:rsid w:val="7B1727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link w:val="8"/>
    <w:qFormat/>
    <w:uiPriority w:val="0"/>
    <w:pPr>
      <w:keepNext/>
      <w:pageBreakBefore/>
      <w:numPr>
        <w:ilvl w:val="0"/>
        <w:numId w:val="1"/>
      </w:numPr>
      <w:pBdr>
        <w:bottom w:val="single" w:color="0070C0" w:sz="12" w:space="4"/>
      </w:pBdr>
      <w:snapToGrid w:val="0"/>
      <w:spacing w:before="480" w:after="360" w:line="240" w:lineRule="atLeast"/>
      <w:jc w:val="center"/>
      <w:outlineLvl w:val="0"/>
    </w:pPr>
    <w:rPr>
      <w:rFonts w:ascii="微软雅黑" w:hAnsi="微软雅黑" w:eastAsia="微软雅黑" w:cs="宋体"/>
      <w:color w:val="0070C0"/>
      <w:sz w:val="30"/>
      <w:szCs w:val="30"/>
      <w:lang w:val="en-US" w:eastAsia="zh-CN" w:bidi="ar-SA"/>
    </w:rPr>
  </w:style>
  <w:style w:type="paragraph" w:styleId="3">
    <w:name w:val="heading 2"/>
    <w:next w:val="1"/>
    <w:link w:val="10"/>
    <w:semiHidden/>
    <w:unhideWhenUsed/>
    <w:qFormat/>
    <w:uiPriority w:val="0"/>
    <w:pPr>
      <w:numPr>
        <w:ilvl w:val="1"/>
        <w:numId w:val="2"/>
      </w:numPr>
      <w:shd w:val="clear" w:color="auto" w:fill="F9DBDE" w:themeFill="accent6" w:themeFillTint="33"/>
      <w:spacing w:before="240" w:after="120" w:line="384" w:lineRule="atLeast"/>
      <w:jc w:val="both"/>
      <w:outlineLvl w:val="1"/>
    </w:pPr>
    <w:rPr>
      <w:rFonts w:ascii="微软雅黑" w:hAnsi="微软雅黑" w:eastAsia="微软雅黑" w:cs="宋体"/>
      <w:caps/>
      <w:color w:val="0070C0"/>
      <w:sz w:val="24"/>
      <w:szCs w:val="24"/>
      <w:lang w:val="en-US" w:eastAsia="zh-CN" w:bidi="ar-SA"/>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rPr>
      <w:sz w:val="24"/>
    </w:rPr>
  </w:style>
  <w:style w:type="paragraph" w:styleId="5">
    <w:name w:val="Title"/>
    <w:basedOn w:val="1"/>
    <w:next w:val="1"/>
    <w:qFormat/>
    <w:uiPriority w:val="10"/>
    <w:pPr>
      <w:spacing w:before="240" w:after="60"/>
      <w:jc w:val="center"/>
      <w:outlineLvl w:val="0"/>
    </w:pPr>
    <w:rPr>
      <w:rFonts w:ascii="Arial" w:hAnsi="Arial"/>
      <w:b/>
      <w:sz w:val="32"/>
    </w:rPr>
  </w:style>
  <w:style w:type="character" w:customStyle="1" w:styleId="8">
    <w:name w:val="标题 1 Char"/>
    <w:basedOn w:val="7"/>
    <w:link w:val="2"/>
    <w:qFormat/>
    <w:uiPriority w:val="9"/>
    <w:rPr>
      <w:rFonts w:ascii="微软雅黑" w:hAnsi="微软雅黑" w:eastAsia="微软雅黑" w:cs="宋体"/>
      <w:color w:val="0070C0"/>
      <w:sz w:val="30"/>
      <w:szCs w:val="30"/>
    </w:rPr>
  </w:style>
  <w:style w:type="paragraph" w:customStyle="1" w:styleId="9">
    <w:name w:val="正文1"/>
    <w:basedOn w:val="1"/>
    <w:qFormat/>
    <w:uiPriority w:val="0"/>
    <w:pPr>
      <w:numPr>
        <w:ilvl w:val="1"/>
        <w:numId w:val="1"/>
      </w:numPr>
    </w:pPr>
  </w:style>
  <w:style w:type="character" w:customStyle="1" w:styleId="10">
    <w:name w:val="标题 2 Char"/>
    <w:basedOn w:val="7"/>
    <w:link w:val="3"/>
    <w:qFormat/>
    <w:uiPriority w:val="9"/>
    <w:rPr>
      <w:rFonts w:ascii="微软雅黑" w:hAnsi="微软雅黑" w:eastAsia="微软雅黑" w:cs="宋体"/>
      <w:caps/>
      <w:color w:val="0070C0"/>
      <w:sz w:val="24"/>
      <w:szCs w:val="24"/>
      <w:shd w:val="clear" w:color="auto" w:fill="F9DBDE" w:themeFill="accent6" w:themeFillTint="33"/>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2578</Words>
  <Characters>2660</Characters>
  <Lines>0</Lines>
  <Paragraphs>0</Paragraphs>
  <TotalTime>4</TotalTime>
  <ScaleCrop>false</ScaleCrop>
  <LinksUpToDate>false</LinksUpToDate>
  <CharactersWithSpaces>2719</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2025-12-27T03:07:00Z</dcterms:created>
  <dc:creator>Grazia</dc:creator>
  <cp:lastModifiedBy>痴傻呆nié</cp:lastModifiedBy>
  <dcterms:modified xsi:type="dcterms:W3CDTF">2026-09-29T09:57:30Z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C2D0C08056C64E9FB50947F40F018058_11</vt:lpwstr>
  </property>
  <property fmtid="{D5CDD505-2E9C-101B-9397-08002B2CF9AE}" pid="4" name="KSOTemplateDocerSaveRecord">
    <vt:lpwstr>eyJoZGlkIjoiZjg5N2Q1MGI3NGJmYTcyYzZkNjdmMTY5ZGE3OWQ0NmEiLCJ1c2VySWQiOiI0NzMyODQyMDcifQ==</vt:lpwstr>
  </property>
</Properties>
</file>