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209F23">
      <w:pPr>
        <w:jc w:val="center"/>
        <w:rPr>
          <w:rFonts w:hint="eastAsia" w:ascii="仿宋" w:hAnsi="仿宋" w:eastAsia="仿宋" w:cs="仿宋"/>
          <w:bCs/>
          <w:color w:val="auto"/>
          <w:sz w:val="36"/>
          <w:szCs w:val="36"/>
        </w:rPr>
      </w:pPr>
      <w:r>
        <w:rPr>
          <w:rFonts w:hint="eastAsia" w:ascii="仿宋" w:hAnsi="仿宋" w:eastAsia="仿宋" w:cs="仿宋"/>
          <w:bCs/>
          <w:color w:val="auto"/>
          <w:sz w:val="36"/>
          <w:szCs w:val="36"/>
        </w:rPr>
        <w:t>厦门市旧城保护开发有限公司</w:t>
      </w:r>
    </w:p>
    <w:p w14:paraId="73A83FE2">
      <w:pPr>
        <w:jc w:val="center"/>
        <w:rPr>
          <w:rFonts w:hint="eastAsia" w:ascii="仿宋" w:hAnsi="仿宋" w:eastAsia="仿宋" w:cs="仿宋"/>
          <w:bCs/>
          <w:color w:val="auto"/>
          <w:sz w:val="36"/>
          <w:szCs w:val="36"/>
          <w:lang w:val="en-US" w:eastAsia="zh-CN"/>
        </w:rPr>
      </w:pPr>
      <w:r>
        <w:rPr>
          <w:rFonts w:hint="eastAsia" w:ascii="仿宋" w:hAnsi="仿宋" w:eastAsia="仿宋" w:cs="仿宋"/>
          <w:bCs/>
          <w:color w:val="auto"/>
          <w:sz w:val="36"/>
          <w:szCs w:val="36"/>
          <w:lang w:val="en-US" w:eastAsia="zh-CN"/>
        </w:rPr>
        <w:t>公园西路8号及集美岑东路76号2处</w:t>
      </w:r>
      <w:r>
        <w:rPr>
          <w:rFonts w:hint="eastAsia" w:ascii="仿宋" w:hAnsi="仿宋" w:eastAsia="仿宋" w:cs="仿宋"/>
          <w:bCs/>
          <w:color w:val="auto"/>
          <w:sz w:val="36"/>
          <w:szCs w:val="36"/>
        </w:rPr>
        <w:t>公房</w:t>
      </w:r>
      <w:r>
        <w:rPr>
          <w:rFonts w:hint="eastAsia" w:ascii="仿宋" w:hAnsi="仿宋" w:eastAsia="仿宋" w:cs="仿宋"/>
          <w:bCs/>
          <w:color w:val="auto"/>
          <w:sz w:val="36"/>
          <w:szCs w:val="36"/>
          <w:lang w:val="en-US" w:eastAsia="zh-CN"/>
        </w:rPr>
        <w:t>资产</w:t>
      </w:r>
    </w:p>
    <w:p w14:paraId="5FBAD0D4">
      <w:pPr>
        <w:jc w:val="center"/>
        <w:rPr>
          <w:rFonts w:hint="eastAsia" w:ascii="方正小标宋简体" w:hAnsi="方正小标宋简体" w:eastAsia="方正小标宋简体" w:cs="方正小标宋简体"/>
          <w:bCs/>
          <w:color w:val="auto"/>
          <w:sz w:val="36"/>
          <w:szCs w:val="36"/>
        </w:rPr>
      </w:pPr>
      <w:r>
        <w:rPr>
          <w:rFonts w:hint="eastAsia" w:ascii="仿宋" w:hAnsi="仿宋" w:eastAsia="仿宋" w:cs="仿宋"/>
          <w:bCs/>
          <w:color w:val="auto"/>
          <w:sz w:val="36"/>
          <w:szCs w:val="36"/>
        </w:rPr>
        <w:t>公开招租方案</w:t>
      </w:r>
    </w:p>
    <w:p w14:paraId="04FC5C3F">
      <w:pPr>
        <w:spacing w:line="560" w:lineRule="exact"/>
        <w:ind w:firstLine="562" w:firstLineChars="200"/>
        <w:rPr>
          <w:rFonts w:hint="eastAsia" w:ascii="仿宋" w:hAnsi="仿宋" w:eastAsia="仿宋" w:cs="仿宋"/>
          <w:b/>
          <w:color w:val="auto"/>
          <w:kern w:val="0"/>
          <w:sz w:val="28"/>
          <w:szCs w:val="28"/>
        </w:rPr>
      </w:pPr>
    </w:p>
    <w:p w14:paraId="4492409D">
      <w:pPr>
        <w:spacing w:line="560" w:lineRule="exact"/>
        <w:ind w:firstLine="562" w:firstLineChars="200"/>
        <w:rPr>
          <w:rFonts w:hint="eastAsia" w:ascii="仿宋" w:hAnsi="仿宋" w:eastAsia="仿宋" w:cs="仿宋"/>
          <w:b/>
          <w:color w:val="auto"/>
          <w:kern w:val="0"/>
          <w:sz w:val="28"/>
          <w:szCs w:val="28"/>
        </w:rPr>
      </w:pPr>
      <w:r>
        <w:rPr>
          <w:rFonts w:hint="eastAsia" w:ascii="仿宋" w:hAnsi="仿宋" w:eastAsia="仿宋" w:cs="仿宋"/>
          <w:b/>
          <w:color w:val="auto"/>
          <w:kern w:val="0"/>
          <w:sz w:val="28"/>
          <w:szCs w:val="28"/>
        </w:rPr>
        <w:t>一、本项目概况及招租方式</w:t>
      </w:r>
    </w:p>
    <w:p w14:paraId="64152A82">
      <w:pPr>
        <w:spacing w:line="560" w:lineRule="exact"/>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厦门市旧城保护开发有限公司（以下简称</w:t>
      </w:r>
      <w:bookmarkStart w:id="0" w:name="_Hlk184902488"/>
      <w:r>
        <w:rPr>
          <w:rFonts w:hint="eastAsia" w:ascii="仿宋" w:hAnsi="仿宋" w:eastAsia="仿宋" w:cs="仿宋"/>
          <w:bCs/>
          <w:color w:val="auto"/>
          <w:sz w:val="28"/>
          <w:szCs w:val="28"/>
          <w:lang w:val="en-US" w:eastAsia="zh-CN"/>
        </w:rPr>
        <w:t>出租方</w:t>
      </w:r>
      <w:bookmarkEnd w:id="0"/>
      <w:r>
        <w:rPr>
          <w:rFonts w:hint="eastAsia" w:ascii="仿宋" w:hAnsi="仿宋" w:eastAsia="仿宋" w:cs="仿宋"/>
          <w:bCs/>
          <w:color w:val="auto"/>
          <w:sz w:val="28"/>
          <w:szCs w:val="28"/>
          <w:lang w:val="en-US" w:eastAsia="zh-CN"/>
        </w:rPr>
        <w:t>）拟推出“公园西路8号及集美岑东路76号2处公房资产公开招租”项</w:t>
      </w:r>
      <w:r>
        <w:rPr>
          <w:rFonts w:hint="eastAsia" w:ascii="仿宋" w:hAnsi="仿宋" w:eastAsia="仿宋" w:cs="仿宋"/>
          <w:bCs/>
          <w:color w:val="auto"/>
          <w:kern w:val="0"/>
          <w:sz w:val="28"/>
          <w:szCs w:val="28"/>
          <w:lang w:val="en-US" w:eastAsia="zh-CN"/>
        </w:rPr>
        <w:t>目</w:t>
      </w:r>
      <w:r>
        <w:rPr>
          <w:rFonts w:hint="eastAsia" w:ascii="仿宋" w:hAnsi="仿宋" w:eastAsia="仿宋" w:cs="仿宋"/>
          <w:bCs/>
          <w:color w:val="auto"/>
          <w:kern w:val="0"/>
          <w:sz w:val="28"/>
          <w:szCs w:val="28"/>
        </w:rPr>
        <w:t>竞价，项目</w:t>
      </w:r>
      <w:r>
        <w:rPr>
          <w:rFonts w:hint="eastAsia" w:ascii="仿宋" w:hAnsi="仿宋" w:eastAsia="仿宋" w:cs="仿宋"/>
          <w:bCs/>
          <w:color w:val="auto"/>
          <w:sz w:val="28"/>
          <w:szCs w:val="28"/>
        </w:rPr>
        <w:t>委托</w:t>
      </w:r>
      <w:r>
        <w:rPr>
          <w:rFonts w:hint="eastAsia" w:ascii="仿宋" w:hAnsi="仿宋" w:eastAsia="仿宋" w:cs="仿宋"/>
          <w:bCs/>
          <w:color w:val="auto"/>
          <w:sz w:val="28"/>
          <w:szCs w:val="28"/>
          <w:lang w:val="en-US" w:eastAsia="zh-CN"/>
        </w:rPr>
        <w:t>厦门特拍拍卖</w:t>
      </w:r>
      <w:r>
        <w:rPr>
          <w:rFonts w:hint="eastAsia" w:ascii="仿宋" w:hAnsi="仿宋" w:eastAsia="仿宋" w:cs="仿宋"/>
          <w:bCs/>
          <w:color w:val="auto"/>
          <w:sz w:val="28"/>
          <w:szCs w:val="28"/>
        </w:rPr>
        <w:t>有限公司（以下简称“拍卖公司”）进行公开竞价，报名结束后出租方对办理登记的意向竞价人开展资格审查，经审查后符合竞价资格的竞价人方可参与网络竞价。网络竞价时以价高者得的原则确定最终承租方。</w:t>
      </w:r>
    </w:p>
    <w:p w14:paraId="5051BBA4">
      <w:pPr>
        <w:spacing w:line="560" w:lineRule="exact"/>
        <w:ind w:firstLine="560" w:firstLineChars="200"/>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上述标的权属清晰。其中，公园西路8号101、102、103室已办理产权，初步鉴定为Dsu级危房，预计2026年8月完成结构加固改造；集美岑东路76号公房部分已办理产权，部分未办理，经初步鉴定为Dsu级危房，预计2026年6月完成结构加固改造。房屋具体交付时间以实际改造完成具备交付条件为准。</w:t>
      </w:r>
    </w:p>
    <w:p w14:paraId="18521F46">
      <w:pPr>
        <w:numPr>
          <w:ilvl w:val="0"/>
          <w:numId w:val="1"/>
        </w:numPr>
        <w:spacing w:line="560" w:lineRule="exact"/>
        <w:ind w:firstLine="562"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标的房屋基本信息、租金底价、租金支付方式、装修培育期</w:t>
      </w:r>
    </w:p>
    <w:p w14:paraId="58728BD8">
      <w:pPr>
        <w:spacing w:line="560" w:lineRule="exact"/>
        <w:ind w:firstLine="560" w:firstLineChars="200"/>
        <w:rPr>
          <w:rFonts w:hint="eastAsia" w:ascii="仿宋" w:hAnsi="仿宋" w:eastAsia="仿宋" w:cs="仿宋"/>
          <w:b/>
          <w:color w:val="auto"/>
          <w:sz w:val="28"/>
          <w:szCs w:val="28"/>
        </w:rPr>
      </w:pPr>
      <w:r>
        <w:rPr>
          <w:rFonts w:hint="eastAsia" w:ascii="仿宋" w:hAnsi="仿宋" w:eastAsia="仿宋" w:cs="仿宋"/>
          <w:bCs/>
          <w:color w:val="auto"/>
          <w:sz w:val="28"/>
          <w:szCs w:val="28"/>
        </w:rPr>
        <w:t>1.招租标的建筑面积、用途、租赁年限、装修培育期及租金底价详见《竞价清单》。</w:t>
      </w:r>
    </w:p>
    <w:p w14:paraId="4134D1F3">
      <w:pPr>
        <w:numPr>
          <w:ilvl w:val="255"/>
          <w:numId w:val="0"/>
        </w:numPr>
        <w:spacing w:line="560" w:lineRule="exact"/>
        <w:ind w:firstLine="560" w:firstLineChars="200"/>
        <w:rPr>
          <w:rFonts w:hint="eastAsia" w:ascii="仿宋" w:hAnsi="仿宋" w:eastAsia="仿宋" w:cs="仿宋"/>
          <w:bCs/>
          <w:color w:val="auto"/>
          <w:sz w:val="28"/>
          <w:szCs w:val="28"/>
        </w:rPr>
      </w:pPr>
      <w:r>
        <w:rPr>
          <w:rFonts w:hint="eastAsia" w:ascii="仿宋" w:hAnsi="仿宋" w:eastAsia="仿宋" w:cs="仿宋"/>
          <w:color w:val="auto"/>
          <w:sz w:val="28"/>
          <w:szCs w:val="28"/>
        </w:rPr>
        <w:t>标的有原租户的，出租方应在《房屋租赁合同》生效且原租赁合同到期后40个自然日内将租赁房屋交付给承租方；若标的为空置状态的，出租方应在《房屋租赁合同》生效后7个工作日内将租赁房屋交付给承租方。</w:t>
      </w:r>
    </w:p>
    <w:p w14:paraId="7AC8FE8D">
      <w:pPr>
        <w:spacing w:line="560" w:lineRule="exact"/>
        <w:ind w:firstLine="560" w:firstLineChars="200"/>
        <w:rPr>
          <w:rFonts w:hint="eastAsia" w:ascii="仿宋" w:hAnsi="仿宋" w:eastAsia="仿宋" w:cs="仿宋"/>
          <w:color w:val="auto"/>
          <w:sz w:val="28"/>
          <w:szCs w:val="28"/>
        </w:rPr>
      </w:pPr>
      <w:r>
        <w:rPr>
          <w:rFonts w:hint="eastAsia" w:ascii="仿宋" w:hAnsi="仿宋" w:eastAsia="仿宋" w:cs="仿宋"/>
          <w:bCs/>
          <w:color w:val="auto"/>
          <w:sz w:val="28"/>
          <w:szCs w:val="28"/>
        </w:rPr>
        <w:t>2.</w:t>
      </w:r>
      <w:bookmarkStart w:id="1" w:name="OLE_LINK15"/>
      <w:r>
        <w:rPr>
          <w:rFonts w:hint="eastAsia" w:ascii="仿宋" w:hAnsi="仿宋" w:eastAsia="仿宋" w:cs="仿宋"/>
          <w:bCs/>
          <w:color w:val="auto"/>
          <w:sz w:val="28"/>
          <w:szCs w:val="28"/>
        </w:rPr>
        <w:t>租金每月缴纳一次</w:t>
      </w:r>
      <w:bookmarkEnd w:id="1"/>
      <w:r>
        <w:rPr>
          <w:rFonts w:hint="eastAsia" w:ascii="仿宋" w:hAnsi="仿宋" w:eastAsia="仿宋" w:cs="仿宋"/>
          <w:bCs/>
          <w:color w:val="auto"/>
          <w:sz w:val="28"/>
          <w:szCs w:val="28"/>
        </w:rPr>
        <w:t>，首期租金承租方应于</w:t>
      </w:r>
      <w:r>
        <w:rPr>
          <w:rFonts w:hint="eastAsia" w:ascii="仿宋" w:hAnsi="仿宋" w:eastAsia="仿宋" w:cs="仿宋"/>
          <w:color w:val="auto"/>
          <w:sz w:val="28"/>
          <w:szCs w:val="28"/>
        </w:rPr>
        <w:t>《房屋租赁合同》</w:t>
      </w:r>
      <w:r>
        <w:rPr>
          <w:rFonts w:hint="eastAsia" w:ascii="仿宋" w:hAnsi="仿宋" w:eastAsia="仿宋" w:cs="仿宋"/>
          <w:bCs/>
          <w:color w:val="auto"/>
          <w:sz w:val="28"/>
          <w:szCs w:val="28"/>
        </w:rPr>
        <w:t>签订之日付清，以后每期租金应于</w:t>
      </w:r>
      <w:r>
        <w:rPr>
          <w:rFonts w:hint="eastAsia" w:ascii="仿宋" w:hAnsi="仿宋" w:eastAsia="仿宋" w:cs="仿宋"/>
          <w:color w:val="auto"/>
          <w:sz w:val="28"/>
          <w:szCs w:val="28"/>
        </w:rPr>
        <w:t>每月5日前足额付清当月租金，逾期不交或所交金额不足的，承租方应承担拖欠租金的违约责任（详见《房屋租赁合同》）。承租方须于《房屋租赁合同》签订之日向出租方一次性支付竞得标的最后一个计租年度3个月租金（以租期内最高月租金计算）作为租赁合同履约保证金。</w:t>
      </w:r>
    </w:p>
    <w:p w14:paraId="7F17A0F4">
      <w:pPr>
        <w:widowControl/>
        <w:numPr>
          <w:ilvl w:val="255"/>
          <w:numId w:val="0"/>
        </w:numPr>
        <w:ind w:firstLine="560" w:firstLineChars="200"/>
        <w:jc w:val="left"/>
        <w:textAlignment w:val="center"/>
        <w:rPr>
          <w:rFonts w:hint="eastAsia" w:ascii="仿宋" w:hAnsi="仿宋" w:eastAsia="仿宋" w:cs="仿宋"/>
          <w:color w:val="auto"/>
          <w:sz w:val="28"/>
          <w:szCs w:val="28"/>
        </w:rPr>
      </w:pPr>
      <w:r>
        <w:rPr>
          <w:rFonts w:hint="eastAsia" w:ascii="仿宋" w:hAnsi="仿宋" w:eastAsia="仿宋" w:cs="仿宋"/>
          <w:bCs/>
          <w:color w:val="auto"/>
          <w:sz w:val="28"/>
          <w:szCs w:val="28"/>
        </w:rPr>
        <w:t>3.</w:t>
      </w:r>
      <w:r>
        <w:rPr>
          <w:rFonts w:hint="eastAsia" w:ascii="仿宋" w:hAnsi="仿宋" w:eastAsia="仿宋" w:cs="仿宋"/>
          <w:color w:val="auto"/>
          <w:sz w:val="28"/>
          <w:szCs w:val="28"/>
          <w:lang w:val="en-US" w:eastAsia="zh-CN"/>
        </w:rPr>
        <w:t>免租期通过在装修培育期中减少租金金额实现，100平方米以下的免租期金额实际分摊至3个月的装修培育期内，100平方米以上的免租期金额实际分摊至9个月的装修培育期内。承租方必须按时缴交除租金以外的其它所有应缴费用（包括但不限于水电费等）。本次2个标的以现状移交，由承租方自行装修，对标的有水电要求的，由承租方自行至相关部门申请办理。鉴于上述房屋需由承租人自行投入内部装修及外立面提升费用，且为支持商户前期经营活动，尽快完成资产装修并投入经营，本次2个标的单处房屋建筑面积均超过100平方米，给予3个月免租期，包含在租期内。实操中，免租期金额实际分摊至合同期内前9个月的装修培育期内。</w:t>
      </w:r>
    </w:p>
    <w:p w14:paraId="1B092550">
      <w:pPr>
        <w:spacing w:line="560" w:lineRule="exact"/>
        <w:ind w:firstLine="560" w:firstLineChars="200"/>
        <w:rPr>
          <w:rFonts w:hint="eastAsia" w:ascii="仿宋" w:hAnsi="仿宋" w:eastAsia="仿宋" w:cs="仿宋"/>
          <w:bCs/>
          <w:color w:val="auto"/>
          <w:sz w:val="28"/>
          <w:szCs w:val="28"/>
        </w:rPr>
      </w:pPr>
      <w:r>
        <w:rPr>
          <w:rFonts w:hint="eastAsia" w:ascii="仿宋" w:hAnsi="仿宋" w:eastAsia="仿宋" w:cs="仿宋"/>
          <w:color w:val="auto"/>
          <w:sz w:val="28"/>
          <w:szCs w:val="28"/>
        </w:rPr>
        <w:t>4.租金递增方式：第</w:t>
      </w:r>
      <w:r>
        <w:rPr>
          <w:rFonts w:hint="eastAsia" w:ascii="仿宋" w:hAnsi="仿宋" w:eastAsia="仿宋" w:cs="仿宋"/>
          <w:color w:val="auto"/>
          <w:sz w:val="28"/>
          <w:szCs w:val="28"/>
          <w:lang w:eastAsia="zh-CN"/>
        </w:rPr>
        <w:t>三</w:t>
      </w:r>
      <w:r>
        <w:rPr>
          <w:rFonts w:hint="eastAsia" w:ascii="仿宋" w:hAnsi="仿宋" w:eastAsia="仿宋" w:cs="仿宋"/>
          <w:color w:val="auto"/>
          <w:sz w:val="28"/>
          <w:szCs w:val="28"/>
        </w:rPr>
        <w:t>年起，月租金在上年度月租金的基础上逐年递增3%，具体约定详见《房屋租赁合同》。</w:t>
      </w:r>
    </w:p>
    <w:p w14:paraId="5149B506">
      <w:pPr>
        <w:spacing w:line="560" w:lineRule="exact"/>
        <w:ind w:firstLine="562" w:firstLineChars="200"/>
        <w:rPr>
          <w:rFonts w:hint="eastAsia" w:ascii="仿宋" w:hAnsi="仿宋" w:eastAsia="仿宋" w:cs="仿宋"/>
          <w:b/>
          <w:bCs/>
          <w:color w:val="auto"/>
          <w:sz w:val="28"/>
          <w:szCs w:val="28"/>
        </w:rPr>
      </w:pPr>
      <w:r>
        <w:rPr>
          <w:rFonts w:hint="eastAsia" w:ascii="仿宋" w:hAnsi="仿宋" w:eastAsia="仿宋" w:cs="仿宋"/>
          <w:b/>
          <w:bCs/>
          <w:color w:val="auto"/>
          <w:sz w:val="28"/>
          <w:szCs w:val="28"/>
        </w:rPr>
        <w:t>三、竞价人资格要求</w:t>
      </w:r>
    </w:p>
    <w:p w14:paraId="367EC8BC">
      <w:pPr>
        <w:spacing w:line="560" w:lineRule="exact"/>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rPr>
        <w:t>1.竞价人必须是在中华人民共和国合法注册的独立法人/其他组织或具有法律规定的完全民事行为能力的中国公民。</w:t>
      </w:r>
    </w:p>
    <w:p w14:paraId="7CD6DDBF">
      <w:pPr>
        <w:spacing w:line="560" w:lineRule="exact"/>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rPr>
        <w:t>2.单处房屋租赁期总租金底价达100万元（含100万元）以上的，竞价人办理登记时必须提供一名自然人作为连带责任保证人（以下简称“担保人”），且竞得后担保人作为丙方与出租方、承租方签订《房屋租赁合同》，同样承担连带担保责任。担保人须为厦门户籍、年龄不得超过55周岁，该担保人在报名时须向拍卖公司提交《担保函》，且不得有下列第3款情形，如有任何一项，不能作为担保人。竞价人无法提供符合前述条件的担保人出具有效《担保函》的，其竞价资格将会被拒绝。</w:t>
      </w:r>
    </w:p>
    <w:p w14:paraId="148EC8A3">
      <w:pPr>
        <w:spacing w:line="560" w:lineRule="exact"/>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rPr>
        <w:t>3.具有以下情形之一的竞价人不具备竞价资格，其竞价将被拒绝：</w:t>
      </w:r>
    </w:p>
    <w:p w14:paraId="0F97F4BD">
      <w:pPr>
        <w:spacing w:line="560" w:lineRule="exact"/>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rPr>
        <w:t>（1）在“信用中国”网站（www.creditchina.gov.cn）、“中国执行信息公开网”（zxgk.court.gov.cn),被列入执行名单的竞价人；</w:t>
      </w:r>
    </w:p>
    <w:p w14:paraId="74616D69">
      <w:pPr>
        <w:spacing w:line="560" w:lineRule="exact"/>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rPr>
        <w:t>（2）与厦门市直管公房管理及经营单位有过或正涉诉讼或执行案件的单位或个人；</w:t>
      </w:r>
    </w:p>
    <w:p w14:paraId="3A707A37">
      <w:pPr>
        <w:spacing w:line="560" w:lineRule="exact"/>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rPr>
        <w:t>（3）租用出租方其他房产存在拖欠租金情况的；</w:t>
      </w:r>
    </w:p>
    <w:p w14:paraId="26B7725F">
      <w:pPr>
        <w:spacing w:line="560" w:lineRule="exact"/>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rPr>
        <w:t>（4）被列入安居控股集团承租信用体系负面名单的企业、团体或个人，不得参与租赁意向报名并不得承租或续租安居控股集团及其所出资企业资产。</w:t>
      </w:r>
    </w:p>
    <w:p w14:paraId="67B79A79">
      <w:pPr>
        <w:spacing w:line="560" w:lineRule="exact"/>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rPr>
        <w:t>4.竞价人申请报名时必须确认本招租方案及所有附件文件，包括但不仅限于《</w:t>
      </w:r>
      <w:r>
        <w:rPr>
          <w:rFonts w:hint="eastAsia" w:ascii="仿宋" w:hAnsi="仿宋" w:eastAsia="仿宋" w:cs="仿宋"/>
          <w:bCs/>
          <w:color w:val="auto"/>
          <w:sz w:val="28"/>
          <w:szCs w:val="28"/>
          <w:lang w:val="en-US" w:eastAsia="zh-CN"/>
        </w:rPr>
        <w:t>竞价清单</w:t>
      </w:r>
      <w:r>
        <w:rPr>
          <w:rFonts w:hint="eastAsia" w:ascii="仿宋" w:hAnsi="仿宋" w:eastAsia="仿宋" w:cs="仿宋"/>
          <w:bCs/>
          <w:color w:val="auto"/>
          <w:sz w:val="28"/>
          <w:szCs w:val="28"/>
        </w:rPr>
        <w:t>》、《房屋租赁合同》样稿、《现场踏勘与重要事项披露及权责与义务知晓确认书》；单处房屋租赁期总租金底价达100万元（含100万元）以上的，同时提供担保人本人签字按手印签署的《担保函》并提供身份证件复印件(须本人签字按手印)等。</w:t>
      </w:r>
    </w:p>
    <w:p w14:paraId="7D467520">
      <w:pPr>
        <w:spacing w:line="560" w:lineRule="exact"/>
        <w:ind w:firstLine="560" w:firstLineChars="200"/>
        <w:rPr>
          <w:rFonts w:hint="eastAsia" w:ascii="仿宋" w:hAnsi="仿宋" w:eastAsia="仿宋" w:cs="仿宋"/>
          <w:b/>
          <w:color w:val="auto"/>
          <w:sz w:val="28"/>
          <w:szCs w:val="28"/>
        </w:rPr>
      </w:pPr>
      <w:r>
        <w:rPr>
          <w:rFonts w:hint="eastAsia" w:ascii="仿宋" w:hAnsi="仿宋" w:eastAsia="仿宋" w:cs="仿宋"/>
          <w:bCs/>
          <w:color w:val="auto"/>
          <w:sz w:val="28"/>
          <w:szCs w:val="28"/>
          <w:lang w:val="en-US" w:eastAsia="zh-CN"/>
        </w:rPr>
        <w:t>5</w:t>
      </w:r>
      <w:r>
        <w:rPr>
          <w:rFonts w:hint="eastAsia" w:ascii="仿宋" w:hAnsi="仿宋" w:eastAsia="仿宋" w:cs="仿宋"/>
          <w:bCs/>
          <w:color w:val="auto"/>
          <w:sz w:val="28"/>
          <w:szCs w:val="28"/>
        </w:rPr>
        <w:t>.不允许联合竞租。</w:t>
      </w:r>
    </w:p>
    <w:p w14:paraId="2B9D9641">
      <w:pPr>
        <w:spacing w:line="560" w:lineRule="exact"/>
        <w:ind w:firstLine="562" w:firstLineChars="200"/>
        <w:rPr>
          <w:rFonts w:hint="eastAsia" w:ascii="仿宋" w:hAnsi="仿宋" w:eastAsia="仿宋" w:cs="仿宋"/>
          <w:b/>
          <w:color w:val="auto"/>
          <w:sz w:val="28"/>
          <w:szCs w:val="28"/>
        </w:rPr>
      </w:pPr>
      <w:r>
        <w:rPr>
          <w:rFonts w:hint="eastAsia" w:ascii="仿宋" w:hAnsi="仿宋" w:eastAsia="仿宋" w:cs="仿宋"/>
          <w:b/>
          <w:color w:val="auto"/>
          <w:sz w:val="28"/>
          <w:szCs w:val="28"/>
        </w:rPr>
        <w:t>四、竞价人办理登记时应提交的资格审查材料</w:t>
      </w:r>
    </w:p>
    <w:p w14:paraId="0A603D65">
      <w:pPr>
        <w:spacing w:line="5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竞价人是法人或其他组织的，须提供营业执照副本或有效证明文件。若竞价代表非企业法定代表人（或负责人）的，须提供该企业法人的授权委托书原件，竞价代表和企业法定代表人（或负责人）需提供身份证有效复印件，以上资格证明文件为复印件的须加盖企业公章，且原件备查；竞价人是自然人的须提供有效的身份证明材料。</w:t>
      </w:r>
    </w:p>
    <w:p w14:paraId="70B7B20C">
      <w:pPr>
        <w:spacing w:line="5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2.向</w:t>
      </w:r>
      <w:r>
        <w:rPr>
          <w:rFonts w:hint="eastAsia" w:ascii="仿宋" w:hAnsi="仿宋" w:eastAsia="仿宋" w:cs="仿宋"/>
          <w:bCs/>
          <w:color w:val="auto"/>
          <w:sz w:val="28"/>
          <w:szCs w:val="28"/>
        </w:rPr>
        <w:t>拍卖公司</w:t>
      </w:r>
      <w:r>
        <w:rPr>
          <w:rFonts w:hint="eastAsia" w:ascii="仿宋" w:hAnsi="仿宋" w:eastAsia="仿宋" w:cs="仿宋"/>
          <w:color w:val="auto"/>
          <w:sz w:val="28"/>
          <w:szCs w:val="28"/>
        </w:rPr>
        <w:t>提供竞价保证金缴交凭证。</w:t>
      </w:r>
    </w:p>
    <w:p w14:paraId="094E49C9">
      <w:pPr>
        <w:pStyle w:val="8"/>
        <w:widowControl/>
        <w:spacing w:line="5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bCs/>
          <w:color w:val="auto"/>
          <w:sz w:val="28"/>
          <w:szCs w:val="28"/>
        </w:rPr>
        <w:t>竞价人须提供如下网站查询截图：</w:t>
      </w:r>
    </w:p>
    <w:p w14:paraId="3B172857">
      <w:pPr>
        <w:pStyle w:val="8"/>
        <w:widowControl/>
        <w:spacing w:line="560" w:lineRule="exact"/>
        <w:ind w:firstLine="560" w:firstLineChars="200"/>
        <w:rPr>
          <w:rFonts w:hint="eastAsia" w:ascii="仿宋" w:hAnsi="仿宋" w:eastAsia="仿宋" w:cs="仿宋"/>
          <w:color w:val="auto"/>
          <w:sz w:val="28"/>
          <w:szCs w:val="28"/>
        </w:rPr>
      </w:pPr>
      <w:r>
        <w:rPr>
          <w:rFonts w:hint="eastAsia" w:ascii="仿宋" w:hAnsi="仿宋" w:eastAsia="仿宋" w:cs="仿宋"/>
          <w:bCs/>
          <w:color w:val="auto"/>
          <w:sz w:val="28"/>
          <w:szCs w:val="28"/>
        </w:rPr>
        <w:t>（1）</w:t>
      </w:r>
      <w:r>
        <w:rPr>
          <w:rFonts w:hint="eastAsia" w:ascii="仿宋" w:hAnsi="仿宋" w:eastAsia="仿宋" w:cs="仿宋"/>
          <w:color w:val="auto"/>
          <w:sz w:val="28"/>
          <w:szCs w:val="28"/>
        </w:rPr>
        <w:t>提供“信用中国”官方网站获取的“严重失信主体名单查询 ”查询截图（需按证件号查询）；</w:t>
      </w:r>
    </w:p>
    <w:p w14:paraId="6BA1C4D1">
      <w:pPr>
        <w:pStyle w:val="8"/>
        <w:widowControl/>
        <w:spacing w:line="560" w:lineRule="exact"/>
        <w:ind w:firstLine="560" w:firstLineChars="200"/>
        <w:rPr>
          <w:rFonts w:hint="eastAsia" w:ascii="仿宋" w:hAnsi="仿宋" w:eastAsia="仿宋" w:cs="仿宋"/>
          <w:color w:val="auto"/>
          <w:sz w:val="28"/>
          <w:szCs w:val="28"/>
        </w:rPr>
      </w:pPr>
      <w:r>
        <w:rPr>
          <w:rFonts w:hint="eastAsia" w:ascii="仿宋" w:hAnsi="仿宋" w:eastAsia="仿宋" w:cs="仿宋"/>
          <w:bCs/>
          <w:color w:val="auto"/>
          <w:sz w:val="28"/>
          <w:szCs w:val="28"/>
        </w:rPr>
        <w:t>（2）</w:t>
      </w:r>
      <w:r>
        <w:rPr>
          <w:rFonts w:hint="eastAsia" w:ascii="仿宋" w:hAnsi="仿宋" w:eastAsia="仿宋" w:cs="仿宋"/>
          <w:color w:val="auto"/>
          <w:sz w:val="28"/>
          <w:szCs w:val="28"/>
        </w:rPr>
        <w:t>提供“中国执行信息公开网”官方网站获取的“综合查询被执行人”查询截图（需按证件号查询）。</w:t>
      </w:r>
    </w:p>
    <w:p w14:paraId="1044569B">
      <w:pPr>
        <w:pStyle w:val="8"/>
        <w:widowControl/>
        <w:spacing w:line="5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上述截图查询日期均在报名截止日（含当日）前10 个工作日内。</w:t>
      </w:r>
    </w:p>
    <w:p w14:paraId="49BB9C19">
      <w:pPr>
        <w:spacing w:line="5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4.</w:t>
      </w:r>
      <w:r>
        <w:rPr>
          <w:rFonts w:hint="eastAsia" w:ascii="仿宋" w:hAnsi="仿宋" w:eastAsia="仿宋" w:cs="仿宋"/>
          <w:bCs/>
          <w:color w:val="auto"/>
          <w:sz w:val="28"/>
          <w:szCs w:val="28"/>
        </w:rPr>
        <w:t>单处房屋租赁期总租金底价达100万元（含100万元）以上的，竞价人须提供</w:t>
      </w:r>
      <w:r>
        <w:rPr>
          <w:rFonts w:hint="eastAsia" w:ascii="仿宋" w:hAnsi="仿宋" w:eastAsia="仿宋" w:cs="仿宋"/>
          <w:color w:val="auto"/>
          <w:sz w:val="28"/>
          <w:szCs w:val="28"/>
        </w:rPr>
        <w:t>《担保函》原件（详见附件3）并提供担保人的身份证件复印件（须本人签字按手印）。</w:t>
      </w:r>
    </w:p>
    <w:p w14:paraId="6EB8F200">
      <w:pPr>
        <w:spacing w:line="5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担保人还应提供</w:t>
      </w:r>
      <w:r>
        <w:rPr>
          <w:rFonts w:hint="eastAsia" w:ascii="仿宋" w:hAnsi="仿宋" w:eastAsia="仿宋" w:cs="仿宋"/>
          <w:bCs/>
          <w:color w:val="auto"/>
          <w:sz w:val="28"/>
          <w:szCs w:val="28"/>
        </w:rPr>
        <w:t>网站查询截图</w:t>
      </w:r>
      <w:r>
        <w:rPr>
          <w:rFonts w:hint="eastAsia" w:ascii="仿宋" w:hAnsi="仿宋" w:eastAsia="仿宋" w:cs="仿宋"/>
          <w:color w:val="auto"/>
          <w:sz w:val="28"/>
          <w:szCs w:val="28"/>
        </w:rPr>
        <w:t>：</w:t>
      </w:r>
    </w:p>
    <w:p w14:paraId="2A78F135">
      <w:pPr>
        <w:numPr>
          <w:ilvl w:val="0"/>
          <w:numId w:val="2"/>
        </w:numPr>
        <w:spacing w:line="5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“信用中国”官方网站获取的“严重失信主体名单查询 ”查询截图（需按证件号查询）；</w:t>
      </w:r>
    </w:p>
    <w:p w14:paraId="52EB66DC">
      <w:pPr>
        <w:numPr>
          <w:ilvl w:val="0"/>
          <w:numId w:val="2"/>
        </w:numPr>
        <w:spacing w:line="5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提供“中国执行信息公开网”官方网站获取的“综合查询被执行人”查询截图（需按证件号查询）。</w:t>
      </w:r>
    </w:p>
    <w:p w14:paraId="245D27E5">
      <w:pPr>
        <w:spacing w:line="560" w:lineRule="exact"/>
        <w:ind w:firstLine="840" w:firstLineChars="300"/>
        <w:rPr>
          <w:rFonts w:hint="eastAsia" w:ascii="仿宋" w:hAnsi="仿宋" w:eastAsia="仿宋" w:cs="仿宋"/>
          <w:color w:val="auto"/>
          <w:sz w:val="28"/>
          <w:szCs w:val="28"/>
        </w:rPr>
      </w:pPr>
      <w:r>
        <w:rPr>
          <w:rFonts w:hint="eastAsia" w:ascii="仿宋" w:hAnsi="仿宋" w:eastAsia="仿宋" w:cs="仿宋"/>
          <w:color w:val="auto"/>
          <w:sz w:val="28"/>
          <w:szCs w:val="28"/>
        </w:rPr>
        <w:t>上述截图查询日期均在报名截止日（含当日）前10 个工作日内。</w:t>
      </w:r>
    </w:p>
    <w:p w14:paraId="7B8BF288">
      <w:pPr>
        <w:spacing w:line="5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5.提供《现场踏勘与重要事项披露及权责与义务知晓确认书》。</w:t>
      </w:r>
    </w:p>
    <w:p w14:paraId="5CB68E69">
      <w:pPr>
        <w:spacing w:line="5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以上材料若为法人或其他组织提供的须盖章，多页的须骑缝盖章；若意向方为自然人的，提供的材料须签字并盖手印，多页的须骑缝签字并盖手印；提供的材料中涉及担保人的，担保人须签字并盖手印。</w:t>
      </w:r>
    </w:p>
    <w:p w14:paraId="17193AE7">
      <w:pPr>
        <w:spacing w:line="560" w:lineRule="exact"/>
        <w:ind w:firstLine="562" w:firstLineChars="200"/>
        <w:rPr>
          <w:rFonts w:hint="eastAsia" w:ascii="仿宋" w:hAnsi="仿宋" w:eastAsia="仿宋" w:cs="仿宋"/>
          <w:color w:val="auto"/>
          <w:sz w:val="28"/>
          <w:szCs w:val="28"/>
        </w:rPr>
      </w:pPr>
      <w:r>
        <w:rPr>
          <w:rFonts w:hint="eastAsia" w:ascii="仿宋" w:hAnsi="仿宋" w:eastAsia="仿宋" w:cs="仿宋"/>
          <w:b/>
          <w:bCs/>
          <w:color w:val="auto"/>
          <w:sz w:val="28"/>
          <w:szCs w:val="28"/>
        </w:rPr>
        <w:t>五、资格审查</w:t>
      </w:r>
      <w:r>
        <w:rPr>
          <w:rFonts w:hint="eastAsia" w:ascii="仿宋" w:hAnsi="仿宋" w:eastAsia="仿宋" w:cs="仿宋"/>
          <w:color w:val="auto"/>
          <w:sz w:val="28"/>
          <w:szCs w:val="28"/>
        </w:rPr>
        <w:t xml:space="preserve"> </w:t>
      </w:r>
    </w:p>
    <w:p w14:paraId="77B60383">
      <w:pPr>
        <w:spacing w:line="5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出租方负责审查拟参加竞价申请人提交的资格审查资料。拟参加竞价申请人被确认符合资格条件后，方可参加本次</w:t>
      </w:r>
      <w:r>
        <w:rPr>
          <w:rFonts w:hint="eastAsia" w:ascii="仿宋" w:hAnsi="仿宋" w:eastAsia="仿宋" w:cs="仿宋"/>
          <w:bCs/>
          <w:color w:val="auto"/>
          <w:kern w:val="0"/>
          <w:sz w:val="28"/>
          <w:szCs w:val="28"/>
        </w:rPr>
        <w:t>公房短租资产公开招租</w:t>
      </w:r>
      <w:r>
        <w:rPr>
          <w:rFonts w:hint="eastAsia" w:ascii="仿宋" w:hAnsi="仿宋" w:eastAsia="仿宋" w:cs="仿宋"/>
          <w:color w:val="auto"/>
          <w:sz w:val="28"/>
          <w:szCs w:val="28"/>
        </w:rPr>
        <w:t>竞价活动。</w:t>
      </w:r>
    </w:p>
    <w:p w14:paraId="72A827C1">
      <w:pPr>
        <w:spacing w:line="560" w:lineRule="exact"/>
        <w:ind w:firstLine="562" w:firstLineChars="200"/>
        <w:rPr>
          <w:rFonts w:hint="eastAsia" w:ascii="仿宋" w:hAnsi="仿宋" w:eastAsia="仿宋" w:cs="仿宋"/>
          <w:b/>
          <w:bCs/>
          <w:color w:val="auto"/>
          <w:sz w:val="28"/>
          <w:szCs w:val="28"/>
        </w:rPr>
      </w:pPr>
      <w:r>
        <w:rPr>
          <w:rFonts w:hint="eastAsia" w:ascii="仿宋" w:hAnsi="仿宋" w:eastAsia="仿宋" w:cs="仿宋"/>
          <w:b/>
          <w:bCs/>
          <w:color w:val="auto"/>
          <w:sz w:val="28"/>
          <w:szCs w:val="28"/>
        </w:rPr>
        <w:t>六、特别事项</w:t>
      </w:r>
    </w:p>
    <w:p w14:paraId="17FB7436">
      <w:pPr>
        <w:spacing w:line="5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1.竞价保证金金额详见《竞价清单》。</w:t>
      </w:r>
    </w:p>
    <w:p w14:paraId="698430D7">
      <w:pPr>
        <w:spacing w:line="5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2.应支付</w:t>
      </w:r>
      <w:bookmarkStart w:id="2" w:name="OLE_LINK1"/>
      <w:r>
        <w:rPr>
          <w:rFonts w:hint="eastAsia" w:ascii="仿宋" w:hAnsi="仿宋" w:eastAsia="仿宋" w:cs="仿宋"/>
          <w:bCs/>
          <w:color w:val="auto"/>
          <w:sz w:val="28"/>
          <w:szCs w:val="28"/>
        </w:rPr>
        <w:t>拍卖公司</w:t>
      </w:r>
      <w:bookmarkEnd w:id="2"/>
      <w:r>
        <w:rPr>
          <w:rFonts w:hint="eastAsia" w:ascii="仿宋" w:hAnsi="仿宋" w:eastAsia="仿宋" w:cs="仿宋"/>
          <w:color w:val="auto"/>
          <w:sz w:val="28"/>
          <w:szCs w:val="28"/>
        </w:rPr>
        <w:t>佣金由承租方承担。</w:t>
      </w:r>
    </w:p>
    <w:p w14:paraId="72B9B652">
      <w:pPr>
        <w:spacing w:line="5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最终中标人（承租方）在与出租方签订《房屋租赁合同》之日，应一次性向出租方支付竞得标的最后一个计租年度3个月租金（以租期内最高月租金计算）作为租赁合同履约保证金以及竞得标的的首月租金。承租方原缴</w:t>
      </w:r>
      <w:r>
        <w:rPr>
          <w:rFonts w:hint="eastAsia" w:ascii="仿宋" w:hAnsi="仿宋" w:eastAsia="仿宋" w:cs="仿宋"/>
          <w:bCs/>
          <w:color w:val="auto"/>
          <w:sz w:val="28"/>
          <w:szCs w:val="28"/>
        </w:rPr>
        <w:t>拍卖公司</w:t>
      </w:r>
      <w:r>
        <w:rPr>
          <w:rFonts w:hint="eastAsia" w:ascii="仿宋" w:hAnsi="仿宋" w:eastAsia="仿宋" w:cs="仿宋"/>
          <w:color w:val="auto"/>
          <w:sz w:val="28"/>
          <w:szCs w:val="28"/>
        </w:rPr>
        <w:t>的竞价保证金，在承租方与出租方签订《房屋租赁合同》并付清首期租金及租赁履约保证金后，扣除应缴</w:t>
      </w:r>
      <w:r>
        <w:rPr>
          <w:rFonts w:hint="eastAsia" w:ascii="仿宋" w:hAnsi="仿宋" w:eastAsia="仿宋" w:cs="仿宋"/>
          <w:bCs/>
          <w:color w:val="auto"/>
          <w:sz w:val="28"/>
          <w:szCs w:val="28"/>
        </w:rPr>
        <w:t>拍卖公司</w:t>
      </w:r>
      <w:r>
        <w:rPr>
          <w:rFonts w:hint="eastAsia" w:ascii="仿宋" w:hAnsi="仿宋" w:eastAsia="仿宋" w:cs="仿宋"/>
          <w:color w:val="auto"/>
          <w:sz w:val="28"/>
          <w:szCs w:val="28"/>
        </w:rPr>
        <w:t>的佣金后余额则无息退还给承租方。</w:t>
      </w:r>
    </w:p>
    <w:p w14:paraId="42D82D24">
      <w:pPr>
        <w:spacing w:line="5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4.租赁业态要求</w:t>
      </w:r>
    </w:p>
    <w:p w14:paraId="1686FDB9">
      <w:pPr>
        <w:spacing w:line="560" w:lineRule="exact"/>
        <w:ind w:firstLine="560" w:firstLineChars="20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标的1（公园西路8号101、102、103室）位于公园西路，周边业态为商业文化、特色餐饮及私人会所等，招商业态为商业文化业态（独立设计师品牌馆、艺术展馆、特色买手店）、商业配套（特色咖啡、轻食简餐、文创零售）、特色餐饮（西餐厅、东南亚美食等特色餐饮）、私人会所（雪茄吧、红酒吧、私房菜）等。标的2（集美岑东路76号）位于集美学村周边，招商业态为打造“青年文化孵化器+校园配套+轻创业”复合空间，推介业态包括：文化业态（校园师生文化工作室、独立设计师品牌馆、艺术展馆、学生创业空间）、商业配套（特色咖啡、轻食简餐、文创零售）、特色餐饮（本土风味美食、西餐厅、东南亚美食等特色餐饮）、二次元潮玩店等。该2处标的均不接受如下经营业态：存在一定边界噪声的营业性娱乐行业，如歌舞厅、夜总会等；易燃易爆等危险化学品经营；用于居住使用；电动自行车及摩托车维修、废品回收行业、活禽贮存及宰杀相关业务；及其他有违反宪法确定基本原则的内容以及其他有损人民群众身心健康内容的文化娱乐经营活动。</w:t>
      </w:r>
    </w:p>
    <w:p w14:paraId="2F5C0F5B">
      <w:pPr>
        <w:spacing w:line="560" w:lineRule="exact"/>
        <w:ind w:firstLine="560" w:firstLineChars="20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不得在租赁房屋范围内设立“三合一”场所（“三合一”场所指住宿与生产、仓储、经营一种或一种以上使用功能违章混合设置在同一空间内的建筑）。</w:t>
      </w:r>
    </w:p>
    <w:p w14:paraId="67BB346E">
      <w:pPr>
        <w:spacing w:line="5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5.承租方须在签订《房屋租赁合同》时明确其租赁期间从事的经营业态，并承诺在起租后三个月内递交营业执照至出租方备案，如需变更经营业态的，承租方将至有关部门（包括但不限于市场监管、公安、消防、特种行业管理等部门）办理登记或审批手续，并向出租方提供登记或审批后的营业执照及相关资质证明材料进行备案，承租方办妥前述手续并向出租方备案前不实际变更经营业态。在合同履约过程中若承租方违反上述约定的，出租方有权利没收履约保证金并终止租赁合同，其后果由承租方承担。</w:t>
      </w:r>
    </w:p>
    <w:p w14:paraId="05A8A374">
      <w:pPr>
        <w:spacing w:line="5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6.标的成交后进行结果公示（3个工作日），承租方须在结果公示结束后7个工作日内做好签约准备，具体签约时间以出租方通知为准。承租方未按规定的时间与出租方签订合同的，视承租方违约，出租方有权取消承租方的承租资格并将房屋再次公开招租，承租方已缴的保证金不予退还，因承租方未履行签约义务而给出租方造成损失的，由承租方向出租方进行赔偿。</w:t>
      </w:r>
    </w:p>
    <w:p w14:paraId="6E727F09">
      <w:pPr>
        <w:spacing w:line="560" w:lineRule="exact"/>
        <w:ind w:firstLine="560" w:firstLineChars="200"/>
        <w:rPr>
          <w:rFonts w:hint="eastAsia" w:ascii="仿宋" w:hAnsi="仿宋" w:eastAsia="仿宋" w:cs="仿宋"/>
          <w:b/>
          <w:bCs/>
          <w:color w:val="auto"/>
          <w:sz w:val="28"/>
          <w:szCs w:val="28"/>
        </w:rPr>
      </w:pPr>
      <w:r>
        <w:rPr>
          <w:rFonts w:hint="eastAsia" w:ascii="仿宋" w:hAnsi="仿宋" w:eastAsia="仿宋" w:cs="仿宋"/>
          <w:color w:val="auto"/>
          <w:sz w:val="28"/>
          <w:szCs w:val="28"/>
        </w:rPr>
        <w:t>出租方将按照上述第二款第1点时限将租赁房屋交付给承租方。如原承租人未在前述日期前将房屋返还出租方的，则交付时间顺延至原承租人退还房屋之日。出租方逾期交付房屋的，租赁期限、计租起始时间及装修期自出租方向承租方实际交付房屋之日起相应顺延。出租方逾期超过</w:t>
      </w:r>
      <w:r>
        <w:rPr>
          <w:rFonts w:ascii="仿宋" w:hAnsi="仿宋" w:eastAsia="仿宋" w:cs="仿宋"/>
          <w:color w:val="auto"/>
          <w:sz w:val="28"/>
          <w:szCs w:val="28"/>
        </w:rPr>
        <w:t>180</w:t>
      </w:r>
      <w:r>
        <w:rPr>
          <w:rFonts w:hint="eastAsia" w:ascii="仿宋" w:hAnsi="仿宋" w:eastAsia="仿宋" w:cs="仿宋"/>
          <w:color w:val="auto"/>
          <w:sz w:val="28"/>
          <w:szCs w:val="28"/>
        </w:rPr>
        <w:t>天仍无法交付房屋的，承租方可以解除租赁合同。</w:t>
      </w:r>
    </w:p>
    <w:p w14:paraId="6ECE2D40">
      <w:pPr>
        <w:spacing w:line="560" w:lineRule="exact"/>
        <w:ind w:firstLine="562" w:firstLineChars="200"/>
        <w:rPr>
          <w:rFonts w:hint="eastAsia" w:ascii="仿宋" w:hAnsi="仿宋" w:eastAsia="仿宋" w:cs="仿宋"/>
          <w:b/>
          <w:bCs/>
          <w:color w:val="auto"/>
          <w:sz w:val="28"/>
          <w:szCs w:val="28"/>
        </w:rPr>
      </w:pPr>
      <w:r>
        <w:rPr>
          <w:rFonts w:hint="eastAsia" w:ascii="仿宋" w:hAnsi="仿宋" w:eastAsia="仿宋" w:cs="仿宋"/>
          <w:b/>
          <w:bCs/>
          <w:color w:val="auto"/>
          <w:sz w:val="28"/>
          <w:szCs w:val="28"/>
        </w:rPr>
        <w:t>如出租方未能在房屋成交后60天内组织签订租赁合同，承租方必须放弃对标的房屋的承租权，且承租方不得向出租方提出任何权益主张。</w:t>
      </w:r>
    </w:p>
    <w:p w14:paraId="4ECC9EF5">
      <w:pPr>
        <w:spacing w:line="560" w:lineRule="exact"/>
        <w:ind w:firstLine="562" w:firstLineChars="200"/>
        <w:rPr>
          <w:rFonts w:hint="eastAsia" w:ascii="仿宋" w:hAnsi="仿宋" w:eastAsia="仿宋" w:cs="仿宋"/>
          <w:b/>
          <w:bCs/>
          <w:color w:val="auto"/>
          <w:sz w:val="28"/>
          <w:szCs w:val="28"/>
        </w:rPr>
      </w:pPr>
      <w:r>
        <w:rPr>
          <w:rFonts w:hint="eastAsia" w:ascii="仿宋" w:hAnsi="仿宋" w:eastAsia="仿宋" w:cs="仿宋"/>
          <w:b/>
          <w:bCs/>
          <w:color w:val="auto"/>
          <w:sz w:val="28"/>
          <w:szCs w:val="28"/>
        </w:rPr>
        <w:t>七、房屋踏勘及其他要求</w:t>
      </w:r>
    </w:p>
    <w:p w14:paraId="5F1B3441">
      <w:pPr>
        <w:spacing w:line="5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招租公告发布后，有意参加公开竞价的意向人，在向</w:t>
      </w:r>
      <w:r>
        <w:rPr>
          <w:rFonts w:hint="eastAsia" w:ascii="仿宋" w:hAnsi="仿宋" w:eastAsia="仿宋" w:cs="仿宋"/>
          <w:bCs/>
          <w:color w:val="auto"/>
          <w:sz w:val="28"/>
          <w:szCs w:val="28"/>
        </w:rPr>
        <w:t>拍卖公司</w:t>
      </w:r>
      <w:r>
        <w:rPr>
          <w:rFonts w:hint="eastAsia" w:ascii="仿宋" w:hAnsi="仿宋" w:eastAsia="仿宋" w:cs="仿宋"/>
          <w:color w:val="auto"/>
          <w:sz w:val="28"/>
          <w:szCs w:val="28"/>
        </w:rPr>
        <w:t>办理登记时，应对拟出租房产、附属设施及其周围环境等先进行勘察，了解招租房屋的现状（包括瑕疵），办理登记时须确认且向拍卖公司签署提交登记材料及招租房屋《现场踏勘与重要事项披露及权责与义务知晓确认书》，签订该确认书后意向人须对标的面积、水电、房屋现状予以确认，后续如产生异议及损失，请自行承担。出租方将为所有意向人现场勘察提供方便，但现场勘察所发生的费用（包括但不局限于交通费等）应由意向人自己承担。</w:t>
      </w:r>
    </w:p>
    <w:p w14:paraId="576ED161">
      <w:pPr>
        <w:spacing w:line="5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本招租方案的内容和约定如与《房屋租赁合同》不一致的地方，以《房屋租赁合同》的内容和约定为准。</w:t>
      </w:r>
    </w:p>
    <w:p w14:paraId="2D79AE66">
      <w:pPr>
        <w:spacing w:line="560" w:lineRule="exact"/>
        <w:ind w:firstLine="560" w:firstLineChars="200"/>
        <w:rPr>
          <w:rFonts w:hint="eastAsia" w:ascii="仿宋" w:hAnsi="仿宋" w:eastAsia="仿宋" w:cs="仿宋"/>
          <w:color w:val="auto"/>
          <w:sz w:val="28"/>
          <w:szCs w:val="28"/>
        </w:rPr>
      </w:pPr>
    </w:p>
    <w:p w14:paraId="4EECBE14">
      <w:pPr>
        <w:spacing w:line="5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    附件：1.《房屋租赁合同》样稿</w:t>
      </w:r>
    </w:p>
    <w:p w14:paraId="1758A00F">
      <w:pPr>
        <w:spacing w:line="56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 xml:space="preserve">          2.《现场踏勘与重要事项披露及权责与义务知晓确认书》</w:t>
      </w:r>
    </w:p>
    <w:p w14:paraId="7A182450">
      <w:pPr>
        <w:spacing w:line="56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 xml:space="preserve">          3.《担保函》</w:t>
      </w:r>
    </w:p>
    <w:p w14:paraId="3BCD4970">
      <w:pPr>
        <w:spacing w:line="5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（本页无正文）</w:t>
      </w:r>
    </w:p>
    <w:p w14:paraId="0D1875B1">
      <w:pPr>
        <w:spacing w:line="560" w:lineRule="exact"/>
        <w:rPr>
          <w:rFonts w:hint="eastAsia" w:ascii="仿宋" w:hAnsi="仿宋" w:eastAsia="仿宋" w:cs="仿宋"/>
          <w:color w:val="auto"/>
          <w:sz w:val="28"/>
          <w:szCs w:val="28"/>
        </w:rPr>
      </w:pPr>
    </w:p>
    <w:p w14:paraId="27DA86F0">
      <w:pPr>
        <w:spacing w:line="560" w:lineRule="exact"/>
        <w:ind w:firstLine="200"/>
        <w:jc w:val="right"/>
        <w:rPr>
          <w:rFonts w:hint="eastAsia" w:ascii="仿宋" w:hAnsi="仿宋" w:eastAsia="仿宋" w:cs="仿宋"/>
          <w:bCs/>
          <w:color w:val="auto"/>
          <w:sz w:val="28"/>
          <w:szCs w:val="28"/>
        </w:rPr>
      </w:pPr>
      <w:r>
        <w:rPr>
          <w:rFonts w:hint="eastAsia" w:ascii="仿宋" w:hAnsi="仿宋" w:eastAsia="仿宋" w:cs="仿宋"/>
          <w:bCs/>
          <w:color w:val="auto"/>
          <w:sz w:val="28"/>
          <w:szCs w:val="28"/>
        </w:rPr>
        <w:t>厦门市旧城保护开发有限公司</w:t>
      </w:r>
    </w:p>
    <w:p w14:paraId="31469A6E">
      <w:pPr>
        <w:spacing w:line="560" w:lineRule="exact"/>
        <w:ind w:firstLine="200"/>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                                           202</w:t>
      </w:r>
      <w:r>
        <w:rPr>
          <w:rFonts w:hint="eastAsia" w:ascii="仿宋" w:hAnsi="仿宋" w:eastAsia="仿宋" w:cs="仿宋"/>
          <w:bCs/>
          <w:color w:val="auto"/>
          <w:sz w:val="28"/>
          <w:szCs w:val="28"/>
          <w:lang w:val="en-US" w:eastAsia="zh-CN"/>
        </w:rPr>
        <w:t>6</w:t>
      </w:r>
      <w:r>
        <w:rPr>
          <w:rFonts w:hint="eastAsia" w:ascii="仿宋" w:hAnsi="仿宋" w:eastAsia="仿宋" w:cs="仿宋"/>
          <w:bCs/>
          <w:color w:val="auto"/>
          <w:sz w:val="28"/>
          <w:szCs w:val="28"/>
        </w:rPr>
        <w:t>年</w:t>
      </w:r>
      <w:r>
        <w:rPr>
          <w:rFonts w:hint="eastAsia" w:ascii="仿宋" w:hAnsi="仿宋" w:eastAsia="仿宋" w:cs="仿宋"/>
          <w:bCs/>
          <w:color w:val="auto"/>
          <w:sz w:val="28"/>
          <w:szCs w:val="28"/>
          <w:lang w:val="en-US" w:eastAsia="zh-CN"/>
        </w:rPr>
        <w:t>5</w:t>
      </w:r>
      <w:r>
        <w:rPr>
          <w:rFonts w:hint="eastAsia" w:ascii="仿宋" w:hAnsi="仿宋" w:eastAsia="仿宋" w:cs="仿宋"/>
          <w:bCs/>
          <w:color w:val="auto"/>
          <w:sz w:val="28"/>
          <w:szCs w:val="28"/>
        </w:rPr>
        <w:t>月</w:t>
      </w:r>
      <w:r>
        <w:rPr>
          <w:rFonts w:hint="eastAsia" w:ascii="仿宋" w:hAnsi="仿宋" w:eastAsia="仿宋" w:cs="仿宋"/>
          <w:bCs/>
          <w:color w:val="auto"/>
          <w:sz w:val="28"/>
          <w:szCs w:val="28"/>
          <w:lang w:val="en-US" w:eastAsia="zh-CN"/>
        </w:rPr>
        <w:t>18</w:t>
      </w:r>
      <w:bookmarkStart w:id="3" w:name="_GoBack"/>
      <w:bookmarkEnd w:id="3"/>
      <w:r>
        <w:rPr>
          <w:rFonts w:hint="eastAsia" w:ascii="仿宋" w:hAnsi="仿宋" w:eastAsia="仿宋" w:cs="仿宋"/>
          <w:bCs/>
          <w:color w:val="auto"/>
          <w:sz w:val="28"/>
          <w:szCs w:val="28"/>
        </w:rPr>
        <w:t>日</w:t>
      </w:r>
    </w:p>
    <w:sectPr>
      <w:pgSz w:w="11906" w:h="16838"/>
      <w:pgMar w:top="1134" w:right="1417" w:bottom="1020" w:left="1417" w:header="851" w:footer="680"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89081E4"/>
    <w:multiLevelType w:val="singleLevel"/>
    <w:tmpl w:val="D89081E4"/>
    <w:lvl w:ilvl="0" w:tentative="0">
      <w:start w:val="2"/>
      <w:numFmt w:val="chineseCounting"/>
      <w:suff w:val="nothing"/>
      <w:lvlText w:val="%1、"/>
      <w:lvlJc w:val="left"/>
      <w:rPr>
        <w:rFonts w:hint="eastAsia"/>
      </w:rPr>
    </w:lvl>
  </w:abstractNum>
  <w:abstractNum w:abstractNumId="1">
    <w:nsid w:val="04D38547"/>
    <w:multiLevelType w:val="singleLevel"/>
    <w:tmpl w:val="04D38547"/>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0ZTVjYjlhNmU1MDY4ZDcwOTU0MWMwZmQ1MTcyZjUifQ=="/>
  </w:docVars>
  <w:rsids>
    <w:rsidRoot w:val="008859A7"/>
    <w:rsid w:val="00082389"/>
    <w:rsid w:val="001A1162"/>
    <w:rsid w:val="001A4A8C"/>
    <w:rsid w:val="001C31E5"/>
    <w:rsid w:val="001D22BF"/>
    <w:rsid w:val="0025317D"/>
    <w:rsid w:val="004322BC"/>
    <w:rsid w:val="005D2854"/>
    <w:rsid w:val="007850FA"/>
    <w:rsid w:val="00786B1E"/>
    <w:rsid w:val="00795186"/>
    <w:rsid w:val="007D5862"/>
    <w:rsid w:val="00863727"/>
    <w:rsid w:val="008769CF"/>
    <w:rsid w:val="008859A7"/>
    <w:rsid w:val="008A104E"/>
    <w:rsid w:val="008A7B57"/>
    <w:rsid w:val="008B7FD8"/>
    <w:rsid w:val="008C16B1"/>
    <w:rsid w:val="008D3335"/>
    <w:rsid w:val="00945430"/>
    <w:rsid w:val="00955688"/>
    <w:rsid w:val="00A0235E"/>
    <w:rsid w:val="00A4272C"/>
    <w:rsid w:val="00A44775"/>
    <w:rsid w:val="00A471DC"/>
    <w:rsid w:val="00A60A3F"/>
    <w:rsid w:val="00AA3E5B"/>
    <w:rsid w:val="00AA6BF2"/>
    <w:rsid w:val="00AC5305"/>
    <w:rsid w:val="00AD55A7"/>
    <w:rsid w:val="00B04E7A"/>
    <w:rsid w:val="00B2436C"/>
    <w:rsid w:val="00BB4669"/>
    <w:rsid w:val="00C74BF6"/>
    <w:rsid w:val="00CF7ACB"/>
    <w:rsid w:val="00D4568D"/>
    <w:rsid w:val="00D716A0"/>
    <w:rsid w:val="00D977B5"/>
    <w:rsid w:val="00F32F8F"/>
    <w:rsid w:val="00F866D1"/>
    <w:rsid w:val="00FA231B"/>
    <w:rsid w:val="00FD5423"/>
    <w:rsid w:val="028B2F97"/>
    <w:rsid w:val="036241F2"/>
    <w:rsid w:val="04611054"/>
    <w:rsid w:val="04FC088E"/>
    <w:rsid w:val="05B62ED6"/>
    <w:rsid w:val="09481585"/>
    <w:rsid w:val="0968152B"/>
    <w:rsid w:val="0AC815A8"/>
    <w:rsid w:val="0C264442"/>
    <w:rsid w:val="0DFF258F"/>
    <w:rsid w:val="0EC7069A"/>
    <w:rsid w:val="10101A88"/>
    <w:rsid w:val="10794981"/>
    <w:rsid w:val="122A2328"/>
    <w:rsid w:val="1272218F"/>
    <w:rsid w:val="1304196C"/>
    <w:rsid w:val="13872459"/>
    <w:rsid w:val="13A965DB"/>
    <w:rsid w:val="17226E2D"/>
    <w:rsid w:val="17393AFE"/>
    <w:rsid w:val="173F308F"/>
    <w:rsid w:val="197D2731"/>
    <w:rsid w:val="19EF552B"/>
    <w:rsid w:val="1AE510E5"/>
    <w:rsid w:val="1B814B7E"/>
    <w:rsid w:val="1C503967"/>
    <w:rsid w:val="1C9E5476"/>
    <w:rsid w:val="1CD101A4"/>
    <w:rsid w:val="1DDB508D"/>
    <w:rsid w:val="1DE62C42"/>
    <w:rsid w:val="1E471372"/>
    <w:rsid w:val="1E601A83"/>
    <w:rsid w:val="1FE44D40"/>
    <w:rsid w:val="20104074"/>
    <w:rsid w:val="219852D6"/>
    <w:rsid w:val="21F833C8"/>
    <w:rsid w:val="2254375C"/>
    <w:rsid w:val="22A915BC"/>
    <w:rsid w:val="2369313B"/>
    <w:rsid w:val="23D2308E"/>
    <w:rsid w:val="24F55356"/>
    <w:rsid w:val="25077A44"/>
    <w:rsid w:val="25902C01"/>
    <w:rsid w:val="25A959F7"/>
    <w:rsid w:val="280E71B9"/>
    <w:rsid w:val="289B2AB1"/>
    <w:rsid w:val="28FF123C"/>
    <w:rsid w:val="29A247DB"/>
    <w:rsid w:val="29CF16B9"/>
    <w:rsid w:val="29EE4E0A"/>
    <w:rsid w:val="2A10367B"/>
    <w:rsid w:val="2B5118CD"/>
    <w:rsid w:val="2C2965E5"/>
    <w:rsid w:val="2E3E6065"/>
    <w:rsid w:val="2F156627"/>
    <w:rsid w:val="300D1BA7"/>
    <w:rsid w:val="30B00823"/>
    <w:rsid w:val="32C60F61"/>
    <w:rsid w:val="339F30C6"/>
    <w:rsid w:val="34AE06C5"/>
    <w:rsid w:val="35B33AC4"/>
    <w:rsid w:val="35EA0923"/>
    <w:rsid w:val="36B329CC"/>
    <w:rsid w:val="36D07DB6"/>
    <w:rsid w:val="37EB5A88"/>
    <w:rsid w:val="37F61820"/>
    <w:rsid w:val="38FB4BB4"/>
    <w:rsid w:val="39070B41"/>
    <w:rsid w:val="39AE7AF7"/>
    <w:rsid w:val="3A922899"/>
    <w:rsid w:val="3C3B32BE"/>
    <w:rsid w:val="3D14170F"/>
    <w:rsid w:val="3E097965"/>
    <w:rsid w:val="3F0A2034"/>
    <w:rsid w:val="3F1B5797"/>
    <w:rsid w:val="3F1B69FA"/>
    <w:rsid w:val="41525543"/>
    <w:rsid w:val="420D48FE"/>
    <w:rsid w:val="426F4E80"/>
    <w:rsid w:val="43C00E21"/>
    <w:rsid w:val="454C4DD3"/>
    <w:rsid w:val="460B4E90"/>
    <w:rsid w:val="475143C3"/>
    <w:rsid w:val="47A3011A"/>
    <w:rsid w:val="490A108F"/>
    <w:rsid w:val="49641B2B"/>
    <w:rsid w:val="4A4708C4"/>
    <w:rsid w:val="4B587A00"/>
    <w:rsid w:val="4D6B5D61"/>
    <w:rsid w:val="4E11094B"/>
    <w:rsid w:val="4E5E6230"/>
    <w:rsid w:val="4F620FF1"/>
    <w:rsid w:val="50106324"/>
    <w:rsid w:val="51244912"/>
    <w:rsid w:val="518351BF"/>
    <w:rsid w:val="51C15D6C"/>
    <w:rsid w:val="52B35646"/>
    <w:rsid w:val="540E5802"/>
    <w:rsid w:val="5650643E"/>
    <w:rsid w:val="57F03E39"/>
    <w:rsid w:val="59816A0B"/>
    <w:rsid w:val="64C165C7"/>
    <w:rsid w:val="656334A7"/>
    <w:rsid w:val="658B0713"/>
    <w:rsid w:val="662957BE"/>
    <w:rsid w:val="67E96E7A"/>
    <w:rsid w:val="6A3615F8"/>
    <w:rsid w:val="6A3A1212"/>
    <w:rsid w:val="6A4D181B"/>
    <w:rsid w:val="6B40572E"/>
    <w:rsid w:val="6BF04202"/>
    <w:rsid w:val="6BFA680B"/>
    <w:rsid w:val="6C7519C8"/>
    <w:rsid w:val="6C75607E"/>
    <w:rsid w:val="6CEF117E"/>
    <w:rsid w:val="6D5A74D9"/>
    <w:rsid w:val="6E170303"/>
    <w:rsid w:val="6F322947"/>
    <w:rsid w:val="6F7F711C"/>
    <w:rsid w:val="72D90F13"/>
    <w:rsid w:val="74426F31"/>
    <w:rsid w:val="74AA0E85"/>
    <w:rsid w:val="74F3564D"/>
    <w:rsid w:val="75F06418"/>
    <w:rsid w:val="76860196"/>
    <w:rsid w:val="76A62976"/>
    <w:rsid w:val="77D83D80"/>
    <w:rsid w:val="788E6140"/>
    <w:rsid w:val="7A10496E"/>
    <w:rsid w:val="7D991FA3"/>
    <w:rsid w:val="7F5568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99"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9"/>
    <w:pPr>
      <w:spacing w:line="560" w:lineRule="exact"/>
      <w:outlineLvl w:val="1"/>
    </w:pPr>
    <w:rPr>
      <w:rFonts w:ascii="方正小标宋简体" w:hAnsi="宋体" w:eastAsia="方正小标宋简体"/>
      <w:color w:val="000000"/>
      <w:sz w:val="32"/>
      <w:szCs w:val="32"/>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ody Text"/>
    <w:basedOn w:val="1"/>
    <w:semiHidden/>
    <w:qFormat/>
    <w:uiPriority w:val="0"/>
    <w:rPr>
      <w:rFonts w:ascii="仿宋" w:hAnsi="仿宋" w:eastAsia="仿宋" w:cs="仿宋"/>
      <w:sz w:val="30"/>
      <w:szCs w:val="30"/>
      <w:lang w:eastAsia="en-US"/>
    </w:rPr>
  </w:style>
  <w:style w:type="paragraph" w:styleId="5">
    <w:name w:val="Balloon Text"/>
    <w:basedOn w:val="1"/>
    <w:next w:val="1"/>
    <w:unhideWhenUsed/>
    <w:qFormat/>
    <w:uiPriority w:val="99"/>
    <w:rPr>
      <w:sz w:val="18"/>
      <w:szCs w:val="18"/>
    </w:rPr>
  </w:style>
  <w:style w:type="paragraph" w:styleId="6">
    <w:name w:val="footer"/>
    <w:basedOn w:val="1"/>
    <w:link w:val="31"/>
    <w:qFormat/>
    <w:uiPriority w:val="0"/>
    <w:pPr>
      <w:tabs>
        <w:tab w:val="center" w:pos="4153"/>
        <w:tab w:val="right" w:pos="8306"/>
      </w:tabs>
      <w:snapToGrid w:val="0"/>
      <w:jc w:val="left"/>
    </w:pPr>
    <w:rPr>
      <w:sz w:val="18"/>
      <w:szCs w:val="18"/>
    </w:rPr>
  </w:style>
  <w:style w:type="paragraph" w:styleId="7">
    <w:name w:val="header"/>
    <w:basedOn w:val="1"/>
    <w:link w:val="30"/>
    <w:qFormat/>
    <w:uiPriority w:val="0"/>
    <w:pPr>
      <w:tabs>
        <w:tab w:val="center" w:pos="4153"/>
        <w:tab w:val="right" w:pos="8306"/>
      </w:tabs>
      <w:snapToGrid w:val="0"/>
      <w:jc w:val="center"/>
    </w:pPr>
    <w:rPr>
      <w:sz w:val="18"/>
      <w:szCs w:val="18"/>
    </w:rPr>
  </w:style>
  <w:style w:type="paragraph" w:styleId="8">
    <w:name w:val="Normal (Web)"/>
    <w:basedOn w:val="1"/>
    <w:qFormat/>
    <w:uiPriority w:val="0"/>
    <w:rPr>
      <w:sz w:val="24"/>
    </w:rPr>
  </w:style>
  <w:style w:type="paragraph" w:styleId="9">
    <w:name w:val="Title"/>
    <w:basedOn w:val="1"/>
    <w:next w:val="1"/>
    <w:qFormat/>
    <w:uiPriority w:val="10"/>
    <w:pPr>
      <w:spacing w:before="240" w:after="60"/>
      <w:jc w:val="center"/>
      <w:outlineLvl w:val="0"/>
    </w:pPr>
    <w:rPr>
      <w:rFonts w:ascii="Arial" w:hAnsi="Arial"/>
      <w:b/>
      <w:sz w:val="32"/>
    </w:rPr>
  </w:style>
  <w:style w:type="character" w:styleId="12">
    <w:name w:val="Strong"/>
    <w:basedOn w:val="11"/>
    <w:qFormat/>
    <w:uiPriority w:val="0"/>
    <w:rPr>
      <w:b/>
    </w:rPr>
  </w:style>
  <w:style w:type="character" w:styleId="13">
    <w:name w:val="FollowedHyperlink"/>
    <w:basedOn w:val="11"/>
    <w:qFormat/>
    <w:uiPriority w:val="0"/>
    <w:rPr>
      <w:color w:val="000000"/>
      <w:u w:val="none"/>
    </w:rPr>
  </w:style>
  <w:style w:type="character" w:styleId="14">
    <w:name w:val="Emphasis"/>
    <w:basedOn w:val="11"/>
    <w:qFormat/>
    <w:uiPriority w:val="0"/>
  </w:style>
  <w:style w:type="character" w:styleId="15">
    <w:name w:val="HTML Definition"/>
    <w:basedOn w:val="11"/>
    <w:qFormat/>
    <w:uiPriority w:val="0"/>
    <w:rPr>
      <w:shd w:val="clear" w:color="auto" w:fill="F6F6F6"/>
    </w:rPr>
  </w:style>
  <w:style w:type="character" w:styleId="16">
    <w:name w:val="HTML Acronym"/>
    <w:basedOn w:val="11"/>
    <w:qFormat/>
    <w:uiPriority w:val="0"/>
  </w:style>
  <w:style w:type="character" w:styleId="17">
    <w:name w:val="HTML Variable"/>
    <w:basedOn w:val="11"/>
    <w:qFormat/>
    <w:uiPriority w:val="0"/>
  </w:style>
  <w:style w:type="character" w:styleId="18">
    <w:name w:val="Hyperlink"/>
    <w:basedOn w:val="11"/>
    <w:qFormat/>
    <w:uiPriority w:val="0"/>
    <w:rPr>
      <w:color w:val="000000"/>
      <w:u w:val="none"/>
    </w:rPr>
  </w:style>
  <w:style w:type="character" w:styleId="19">
    <w:name w:val="HTML Code"/>
    <w:basedOn w:val="11"/>
    <w:qFormat/>
    <w:uiPriority w:val="0"/>
    <w:rPr>
      <w:rFonts w:ascii="Courier New" w:hAnsi="Courier New"/>
      <w:sz w:val="20"/>
    </w:rPr>
  </w:style>
  <w:style w:type="character" w:styleId="20">
    <w:name w:val="annotation reference"/>
    <w:basedOn w:val="11"/>
    <w:qFormat/>
    <w:uiPriority w:val="0"/>
    <w:rPr>
      <w:sz w:val="21"/>
      <w:szCs w:val="21"/>
    </w:rPr>
  </w:style>
  <w:style w:type="character" w:styleId="21">
    <w:name w:val="HTML Cite"/>
    <w:basedOn w:val="11"/>
    <w:qFormat/>
    <w:uiPriority w:val="0"/>
  </w:style>
  <w:style w:type="character" w:customStyle="1" w:styleId="22">
    <w:name w:val="margin_right20"/>
    <w:basedOn w:val="11"/>
    <w:qFormat/>
    <w:uiPriority w:val="0"/>
  </w:style>
  <w:style w:type="character" w:customStyle="1" w:styleId="23">
    <w:name w:val="active"/>
    <w:basedOn w:val="11"/>
    <w:qFormat/>
    <w:uiPriority w:val="0"/>
    <w:rPr>
      <w:color w:val="FFFFFF"/>
      <w:shd w:val="clear" w:color="auto" w:fill="E22323"/>
    </w:rPr>
  </w:style>
  <w:style w:type="character" w:customStyle="1" w:styleId="24">
    <w:name w:val="active1"/>
    <w:basedOn w:val="11"/>
    <w:qFormat/>
    <w:uiPriority w:val="0"/>
    <w:rPr>
      <w:color w:val="FFFFFF"/>
      <w:shd w:val="clear" w:color="auto" w:fill="E22323"/>
    </w:rPr>
  </w:style>
  <w:style w:type="character" w:customStyle="1" w:styleId="25">
    <w:name w:val="before"/>
    <w:basedOn w:val="11"/>
    <w:qFormat/>
    <w:uiPriority w:val="0"/>
    <w:rPr>
      <w:shd w:val="clear" w:color="auto" w:fill="E22323"/>
    </w:rPr>
  </w:style>
  <w:style w:type="character" w:customStyle="1" w:styleId="26">
    <w:name w:val="rblist-section2-firstspan"/>
    <w:basedOn w:val="11"/>
    <w:qFormat/>
    <w:uiPriority w:val="0"/>
    <w:rPr>
      <w:bdr w:val="single" w:color="C3C3C3" w:sz="6" w:space="0"/>
    </w:rPr>
  </w:style>
  <w:style w:type="character" w:customStyle="1" w:styleId="27">
    <w:name w:val="hover"/>
    <w:basedOn w:val="11"/>
    <w:qFormat/>
    <w:uiPriority w:val="0"/>
    <w:rPr>
      <w:color w:val="0063BA"/>
    </w:rPr>
  </w:style>
  <w:style w:type="paragraph" w:styleId="28">
    <w:name w:val="List Paragraph"/>
    <w:basedOn w:val="1"/>
    <w:unhideWhenUsed/>
    <w:qFormat/>
    <w:uiPriority w:val="99"/>
    <w:pPr>
      <w:ind w:firstLine="420" w:firstLineChars="200"/>
    </w:pPr>
  </w:style>
  <w:style w:type="paragraph" w:customStyle="1" w:styleId="29">
    <w:name w:val="修订1"/>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30">
    <w:name w:val="页眉 字符"/>
    <w:basedOn w:val="11"/>
    <w:link w:val="7"/>
    <w:qFormat/>
    <w:uiPriority w:val="0"/>
    <w:rPr>
      <w:rFonts w:asciiTheme="minorHAnsi" w:hAnsiTheme="minorHAnsi" w:eastAsiaTheme="minorEastAsia" w:cstheme="minorBidi"/>
      <w:kern w:val="2"/>
      <w:sz w:val="18"/>
      <w:szCs w:val="18"/>
    </w:rPr>
  </w:style>
  <w:style w:type="character" w:customStyle="1" w:styleId="31">
    <w:name w:val="页脚 字符"/>
    <w:basedOn w:val="11"/>
    <w:link w:val="6"/>
    <w:qFormat/>
    <w:uiPriority w:val="0"/>
    <w:rPr>
      <w:rFonts w:asciiTheme="minorHAnsi" w:hAnsiTheme="minorHAnsi" w:eastAsiaTheme="minorEastAsia" w:cstheme="minorBidi"/>
      <w:kern w:val="2"/>
      <w:sz w:val="18"/>
      <w:szCs w:val="18"/>
    </w:rPr>
  </w:style>
  <w:style w:type="paragraph" w:customStyle="1" w:styleId="32">
    <w:name w:val="修订2"/>
    <w:hidden/>
    <w:unhideWhenUsed/>
    <w:qFormat/>
    <w:uiPriority w:val="99"/>
    <w:rPr>
      <w:rFonts w:asciiTheme="minorHAnsi" w:hAnsiTheme="minorHAnsi" w:eastAsiaTheme="minorEastAsia" w:cstheme="minorBidi"/>
      <w:kern w:val="2"/>
      <w:sz w:val="21"/>
      <w:szCs w:val="24"/>
      <w:lang w:val="en-US" w:eastAsia="zh-CN" w:bidi="ar-SA"/>
    </w:rPr>
  </w:style>
  <w:style w:type="paragraph" w:customStyle="1" w:styleId="33">
    <w:name w:val="Revision"/>
    <w:hidden/>
    <w:unhideWhenUsed/>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3975</Words>
  <Characters>4093</Characters>
  <Lines>24</Lines>
  <Paragraphs>6</Paragraphs>
  <TotalTime>4</TotalTime>
  <ScaleCrop>false</ScaleCrop>
  <LinksUpToDate>false</LinksUpToDate>
  <CharactersWithSpaces>4165</CharactersWithSpaces>
  <Application>WPS Office_12.1.0.26373_F1E327BC-269C-435d-A152-05C5408002CA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2024-05-28T07:42:00Z</dcterms:created>
  <dc:creator>user</dc:creator>
  <cp:lastModifiedBy>痴傻呆nié</cp:lastModifiedBy>
  <cp:lastPrinted>2024-11-04T02:16:00Z</cp:lastPrinted>
  <dcterms:modified xsi:type="dcterms:W3CDTF">2026-05-15T02:39:26Z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2052-12.1.0.26373</vt:lpwstr>
  </property>
  <property fmtid="{D5CDD505-2E9C-101B-9397-08002B2CF9AE}" pid="3" name="ICV">
    <vt:lpwstr>4257C276C8DE41C88D16BA6C0D27FA72</vt:lpwstr>
  </property>
  <property fmtid="{D5CDD505-2E9C-101B-9397-08002B2CF9AE}" pid="4" name="KSOTemplateDocerSaveRecord">
    <vt:lpwstr>eyJoZGlkIjoiZjg5N2Q1MGI3NGJmYTcyYzZkNjdmMTY5ZGE3OWQ0NmEiLCJ1c2VySWQiOiI0NzMyODQyMDcifQ==</vt:lpwstr>
  </property>
</Properties>
</file>