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jc w:val="center"/>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竞价协议书</w:t>
      </w:r>
    </w:p>
    <w:p>
      <w:pPr>
        <w:autoSpaceDE w:val="0"/>
        <w:autoSpaceDN w:val="0"/>
        <w:spacing w:line="360" w:lineRule="auto"/>
        <w:jc w:val="left"/>
        <w:rPr>
          <w:rFonts w:hint="eastAsia" w:ascii="宋体" w:hAnsi="宋体"/>
          <w:b/>
          <w:color w:val="000000" w:themeColor="text1"/>
          <w:sz w:val="24"/>
          <w:szCs w:val="24"/>
          <w14:textFill>
            <w14:solidFill>
              <w14:schemeClr w14:val="tx1"/>
            </w14:solidFill>
          </w14:textFill>
        </w:rPr>
      </w:pPr>
    </w:p>
    <w:p>
      <w:pPr>
        <w:autoSpaceDE w:val="0"/>
        <w:autoSpaceDN w:val="0"/>
        <w:spacing w:line="360" w:lineRule="auto"/>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代理人(简称“甲方”)：厦门会丰拍卖有限责任公司</w:t>
      </w:r>
      <w:r>
        <w:rPr>
          <w:rFonts w:hint="eastAsia" w:ascii="宋体" w:hAnsi="宋体"/>
          <w:b/>
          <w:color w:val="000000" w:themeColor="text1"/>
          <w:sz w:val="24"/>
          <w:szCs w:val="24"/>
          <w14:textFill>
            <w14:solidFill>
              <w14:schemeClr w14:val="tx1"/>
            </w14:solidFill>
          </w14:textFill>
        </w:rPr>
        <w:cr/>
      </w:r>
    </w:p>
    <w:p>
      <w:pPr>
        <w:autoSpaceDE w:val="0"/>
        <w:autoSpaceDN w:val="0"/>
        <w:spacing w:line="360" w:lineRule="auto"/>
        <w:jc w:val="left"/>
        <w:rPr>
          <w:rFonts w:hint="default" w:ascii="宋体" w:hAnsi="宋体" w:eastAsia="宋体"/>
          <w:color w:val="000000" w:themeColor="text1"/>
          <w:szCs w:val="21"/>
          <w:u w:val="single"/>
          <w:lang w:val="en-US"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竞价人(简称“乙方”)</w:t>
      </w:r>
      <w:r>
        <w:rPr>
          <w:rFonts w:hint="eastAsia" w:ascii="宋体" w:hAnsi="宋体"/>
          <w:b/>
          <w:color w:val="000000" w:themeColor="text1"/>
          <w:sz w:val="24"/>
          <w:szCs w:val="24"/>
          <w:lang w:eastAsia="zh-CN"/>
          <w14:textFill>
            <w14:solidFill>
              <w14:schemeClr w14:val="tx1"/>
            </w14:solidFill>
          </w14:textFill>
        </w:rPr>
        <w:t>：</w:t>
      </w:r>
      <w:r>
        <w:rPr>
          <w:rFonts w:hint="eastAsia" w:ascii="宋体" w:hAnsi="宋体"/>
          <w:b/>
          <w:color w:val="000000" w:themeColor="text1"/>
          <w:sz w:val="24"/>
          <w:szCs w:val="24"/>
          <w:u w:val="single"/>
          <w:lang w:val="en-US" w:eastAsia="zh-CN"/>
          <w14:textFill>
            <w14:solidFill>
              <w14:schemeClr w14:val="tx1"/>
            </w14:solidFill>
          </w14:textFill>
        </w:rPr>
        <w:t xml:space="preserve">                         </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甲方受委托，定于</w:t>
      </w:r>
      <w:r>
        <w:rPr>
          <w:rFonts w:hint="eastAsia" w:ascii="宋体" w:hAnsi="宋体"/>
          <w:b/>
          <w:bCs/>
          <w:color w:val="000000" w:themeColor="text1"/>
          <w:szCs w:val="21"/>
          <w:highlight w:val="none"/>
          <w:lang w:val="en-US" w:eastAsia="zh-CN"/>
          <w14:textFill>
            <w14:solidFill>
              <w14:schemeClr w14:val="tx1"/>
            </w14:solidFill>
          </w14:textFill>
        </w:rPr>
        <w:t>定于2024年4月22日（星期一）10:00</w:t>
      </w:r>
      <w:r>
        <w:rPr>
          <w:rFonts w:hint="eastAsia" w:ascii="宋体" w:hAnsi="宋体"/>
          <w:color w:val="000000" w:themeColor="text1"/>
          <w:szCs w:val="21"/>
          <w:highlight w:val="none"/>
          <w14:textFill>
            <w14:solidFill>
              <w14:schemeClr w14:val="tx1"/>
            </w14:solidFill>
          </w14:textFill>
        </w:rPr>
        <w:t>在厦门市公共资源市场配置竞价系统(竞价系统网址：http://120.41.41.16:9101/)</w:t>
      </w:r>
      <w:r>
        <w:rPr>
          <w:rFonts w:hint="eastAsia" w:ascii="宋体" w:hAnsi="宋体"/>
          <w:color w:val="000000" w:themeColor="text1"/>
          <w:szCs w:val="21"/>
          <w14:textFill>
            <w14:solidFill>
              <w14:schemeClr w14:val="tx1"/>
            </w14:solidFill>
          </w14:textFill>
        </w:rPr>
        <w:t>采用网络电子竞价的方式举行</w:t>
      </w:r>
      <w:r>
        <w:rPr>
          <w:rFonts w:hint="eastAsia" w:ascii="宋体" w:hAnsi="宋体"/>
          <w:b/>
          <w:color w:val="000000" w:themeColor="text1"/>
          <w:szCs w:val="21"/>
          <w:highlight w:val="none"/>
          <w14:textFill>
            <w14:solidFill>
              <w14:schemeClr w14:val="tx1"/>
            </w14:solidFill>
          </w14:textFill>
        </w:rPr>
        <w:t>2023年第八批保障房配套商业招租</w:t>
      </w:r>
      <w:r>
        <w:rPr>
          <w:rFonts w:hint="eastAsia" w:ascii="宋体" w:hAnsi="宋体"/>
          <w:b w:val="0"/>
          <w:bCs/>
          <w:color w:val="000000" w:themeColor="text1"/>
          <w:szCs w:val="21"/>
          <w:highlight w:val="none"/>
          <w14:textFill>
            <w14:solidFill>
              <w14:schemeClr w14:val="tx1"/>
            </w14:solidFill>
          </w14:textFill>
        </w:rPr>
        <w:t>竞价会</w:t>
      </w:r>
      <w:r>
        <w:rPr>
          <w:rFonts w:hint="eastAsia" w:ascii="宋体" w:hAnsi="宋体"/>
          <w:color w:val="000000" w:themeColor="text1"/>
          <w:szCs w:val="21"/>
          <w14:textFill>
            <w14:solidFill>
              <w14:schemeClr w14:val="tx1"/>
            </w14:solidFill>
          </w14:textFill>
        </w:rPr>
        <w:t>，乙方自愿参加甲方举行的竞价会。甲、乙双方本着公开、公平、公正的原则，根据《中华人民共和国合同法》、《中华人民共和国拍卖法》《厦门市市级公共资源市场交易交易》（厦财规[2023]2号）等相关法律、法规、规章及相关司法解释，在充分协商的基础上签订本协议。</w:t>
      </w:r>
      <w:r>
        <w:rPr>
          <w:rFonts w:hint="eastAsia" w:ascii="宋体" w:hAnsi="宋体"/>
          <w:color w:val="000000" w:themeColor="text1"/>
          <w:szCs w:val="21"/>
          <w14:textFill>
            <w14:solidFill>
              <w14:schemeClr w14:val="tx1"/>
            </w14:solidFill>
          </w14:textFill>
        </w:rPr>
        <w:cr/>
      </w:r>
      <w:r>
        <w:rPr>
          <w:rFonts w:hint="eastAsia" w:ascii="宋体" w:hAnsi="宋体"/>
          <w:b/>
          <w:color w:val="000000" w:themeColor="text1"/>
          <w:szCs w:val="21"/>
          <w14:textFill>
            <w14:solidFill>
              <w14:schemeClr w14:val="tx1"/>
            </w14:solidFill>
          </w14:textFill>
        </w:rPr>
        <w:t>一、竞价标的：</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u w:val="single"/>
          <w14:textFill>
            <w14:solidFill>
              <w14:schemeClr w14:val="tx1"/>
            </w14:solidFill>
          </w14:textFill>
        </w:rPr>
        <w:t>2023年第八批保障房配套商业招租</w:t>
      </w:r>
      <w:r>
        <w:rPr>
          <w:rFonts w:hint="eastAsia" w:ascii="宋体" w:hAnsi="宋体"/>
          <w:color w:val="000000" w:themeColor="text1"/>
          <w:szCs w:val="21"/>
          <w14:textFill>
            <w14:solidFill>
              <w14:schemeClr w14:val="tx1"/>
            </w14:solidFill>
          </w14:textFill>
        </w:rPr>
        <w:t>(以下简称“标的”)</w:t>
      </w:r>
    </w:p>
    <w:tbl>
      <w:tblPr>
        <w:tblStyle w:val="7"/>
        <w:tblW w:w="10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3022"/>
        <w:gridCol w:w="964"/>
        <w:gridCol w:w="789"/>
        <w:gridCol w:w="1259"/>
        <w:gridCol w:w="842"/>
        <w:gridCol w:w="1138"/>
        <w:gridCol w:w="857"/>
        <w:gridCol w:w="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709" w:type="dxa"/>
            <w:vAlign w:val="center"/>
          </w:tcPr>
          <w:p>
            <w:pPr>
              <w:autoSpaceDE w:val="0"/>
              <w:autoSpaceDN w:val="0"/>
              <w:spacing w:line="360" w:lineRule="exact"/>
              <w:jc w:val="center"/>
              <w:rPr>
                <w:rFonts w:ascii="宋体" w:hAnsi="宋体" w:cs="宋体"/>
                <w:b/>
                <w:bCs/>
                <w:color w:val="000000"/>
                <w:kern w:val="0"/>
                <w:szCs w:val="21"/>
              </w:rPr>
            </w:pPr>
            <w:r>
              <w:rPr>
                <w:rFonts w:hint="eastAsia" w:ascii="宋体" w:hAnsi="宋体" w:cs="宋体"/>
                <w:b/>
                <w:bCs/>
                <w:color w:val="000000"/>
                <w:kern w:val="0"/>
                <w:szCs w:val="21"/>
              </w:rPr>
              <w:t>序号</w:t>
            </w:r>
          </w:p>
        </w:tc>
        <w:tc>
          <w:tcPr>
            <w:tcW w:w="3022" w:type="dxa"/>
            <w:vAlign w:val="center"/>
          </w:tcPr>
          <w:p>
            <w:pPr>
              <w:autoSpaceDE w:val="0"/>
              <w:autoSpaceDN w:val="0"/>
              <w:spacing w:line="360" w:lineRule="exact"/>
              <w:jc w:val="center"/>
              <w:rPr>
                <w:rFonts w:ascii="宋体" w:hAnsi="宋体" w:cs="宋体"/>
                <w:b/>
                <w:bCs/>
                <w:color w:val="000000"/>
                <w:kern w:val="0"/>
                <w:szCs w:val="21"/>
              </w:rPr>
            </w:pPr>
            <w:r>
              <w:rPr>
                <w:rFonts w:hint="eastAsia" w:ascii="宋体" w:hAnsi="宋体" w:cs="宋体"/>
                <w:b/>
                <w:bCs/>
                <w:color w:val="000000"/>
                <w:kern w:val="0"/>
                <w:szCs w:val="21"/>
              </w:rPr>
              <w:t>标的名称</w:t>
            </w:r>
          </w:p>
        </w:tc>
        <w:tc>
          <w:tcPr>
            <w:tcW w:w="964" w:type="dxa"/>
            <w:vAlign w:val="center"/>
          </w:tcPr>
          <w:p>
            <w:pPr>
              <w:widowControl/>
              <w:autoSpaceDE w:val="0"/>
              <w:autoSpaceDN w:val="0"/>
              <w:adjustRightInd w:val="0"/>
              <w:snapToGrid w:val="0"/>
              <w:spacing w:line="360" w:lineRule="exact"/>
              <w:ind w:left="-50" w:right="-50"/>
              <w:jc w:val="center"/>
              <w:rPr>
                <w:rFonts w:ascii="宋体" w:hAnsi="宋体" w:cs="宋体"/>
                <w:b/>
                <w:bCs/>
                <w:color w:val="000000"/>
                <w:kern w:val="0"/>
                <w:szCs w:val="21"/>
              </w:rPr>
            </w:pPr>
            <w:r>
              <w:rPr>
                <w:rFonts w:hint="eastAsia" w:ascii="宋体" w:hAnsi="宋体" w:cs="宋体"/>
                <w:b/>
                <w:bCs/>
                <w:color w:val="000000"/>
                <w:kern w:val="0"/>
                <w:szCs w:val="21"/>
              </w:rPr>
              <w:t>面积(</w:t>
            </w:r>
            <w:r>
              <w:rPr>
                <w:rFonts w:ascii="宋体" w:hAnsi="宋体" w:cs="宋体"/>
                <w:b/>
                <w:bCs/>
                <w:color w:val="000000"/>
                <w:kern w:val="0"/>
                <w:szCs w:val="21"/>
              </w:rPr>
              <w:t>㎡</w:t>
            </w:r>
            <w:r>
              <w:rPr>
                <w:rFonts w:hint="eastAsia" w:ascii="宋体" w:hAnsi="宋体" w:cs="宋体"/>
                <w:b/>
                <w:bCs/>
                <w:color w:val="000000"/>
                <w:kern w:val="0"/>
                <w:szCs w:val="21"/>
              </w:rPr>
              <w:t>)</w:t>
            </w:r>
          </w:p>
        </w:tc>
        <w:tc>
          <w:tcPr>
            <w:tcW w:w="789" w:type="dxa"/>
            <w:vAlign w:val="center"/>
          </w:tcPr>
          <w:p>
            <w:pPr>
              <w:autoSpaceDE w:val="0"/>
              <w:autoSpaceDN w:val="0"/>
              <w:spacing w:line="360" w:lineRule="exact"/>
              <w:jc w:val="center"/>
              <w:rPr>
                <w:rFonts w:ascii="宋体" w:hAnsi="宋体" w:cs="宋体"/>
                <w:b/>
                <w:bCs/>
                <w:color w:val="000000"/>
                <w:kern w:val="0"/>
                <w:szCs w:val="21"/>
              </w:rPr>
            </w:pPr>
            <w:r>
              <w:rPr>
                <w:rFonts w:hint="eastAsia" w:ascii="宋体" w:hAnsi="宋体" w:cs="宋体"/>
                <w:b/>
                <w:bCs/>
                <w:color w:val="000000"/>
                <w:kern w:val="0"/>
                <w:szCs w:val="21"/>
              </w:rPr>
              <w:t>租赁期限</w:t>
            </w:r>
          </w:p>
        </w:tc>
        <w:tc>
          <w:tcPr>
            <w:tcW w:w="1259" w:type="dxa"/>
            <w:vAlign w:val="center"/>
          </w:tcPr>
          <w:p>
            <w:pPr>
              <w:widowControl/>
              <w:autoSpaceDE w:val="0"/>
              <w:autoSpaceDN w:val="0"/>
              <w:adjustRightInd w:val="0"/>
              <w:snapToGrid w:val="0"/>
              <w:spacing w:line="360" w:lineRule="exact"/>
              <w:ind w:left="-50" w:right="-50"/>
              <w:jc w:val="center"/>
              <w:rPr>
                <w:rFonts w:ascii="宋体" w:hAnsi="宋体" w:cs="宋体"/>
                <w:b/>
                <w:bCs/>
                <w:color w:val="000000"/>
                <w:kern w:val="0"/>
                <w:szCs w:val="21"/>
              </w:rPr>
            </w:pPr>
            <w:r>
              <w:rPr>
                <w:rFonts w:hint="eastAsia" w:ascii="宋体" w:hAnsi="宋体" w:cs="宋体"/>
                <w:b/>
                <w:bCs/>
                <w:color w:val="000000"/>
                <w:kern w:val="0"/>
                <w:szCs w:val="21"/>
              </w:rPr>
              <w:t>底价(元/月)</w:t>
            </w:r>
          </w:p>
        </w:tc>
        <w:tc>
          <w:tcPr>
            <w:tcW w:w="842" w:type="dxa"/>
            <w:vAlign w:val="center"/>
          </w:tcPr>
          <w:p>
            <w:pPr>
              <w:widowControl/>
              <w:autoSpaceDE w:val="0"/>
              <w:autoSpaceDN w:val="0"/>
              <w:spacing w:line="360" w:lineRule="exact"/>
              <w:ind w:left="-50" w:right="-50"/>
              <w:jc w:val="center"/>
              <w:rPr>
                <w:rFonts w:ascii="宋体" w:hAnsi="宋体" w:cs="宋体"/>
                <w:b/>
                <w:bCs/>
                <w:color w:val="000000"/>
                <w:kern w:val="0"/>
                <w:szCs w:val="21"/>
              </w:rPr>
            </w:pPr>
            <w:r>
              <w:rPr>
                <w:rFonts w:hint="eastAsia" w:ascii="宋体" w:hAnsi="宋体" w:cs="宋体"/>
                <w:b/>
                <w:bCs/>
                <w:color w:val="000000"/>
                <w:kern w:val="0"/>
                <w:szCs w:val="21"/>
              </w:rPr>
              <w:t>加价幅度(元/月)</w:t>
            </w:r>
          </w:p>
        </w:tc>
        <w:tc>
          <w:tcPr>
            <w:tcW w:w="1138" w:type="dxa"/>
            <w:vAlign w:val="center"/>
          </w:tcPr>
          <w:p>
            <w:pPr>
              <w:widowControl/>
              <w:autoSpaceDE w:val="0"/>
              <w:autoSpaceDN w:val="0"/>
              <w:adjustRightInd w:val="0"/>
              <w:snapToGrid w:val="0"/>
              <w:spacing w:line="360" w:lineRule="exact"/>
              <w:ind w:left="-50" w:right="-50"/>
              <w:jc w:val="center"/>
              <w:rPr>
                <w:rFonts w:ascii="宋体" w:hAnsi="宋体" w:cs="宋体"/>
                <w:b/>
                <w:bCs/>
                <w:color w:val="000000"/>
                <w:kern w:val="0"/>
                <w:szCs w:val="21"/>
              </w:rPr>
            </w:pPr>
            <w:r>
              <w:rPr>
                <w:rFonts w:hint="eastAsia" w:ascii="宋体" w:hAnsi="宋体" w:cs="宋体"/>
                <w:b/>
                <w:bCs/>
                <w:color w:val="000000"/>
                <w:kern w:val="0"/>
                <w:szCs w:val="21"/>
              </w:rPr>
              <w:t>竞价保证金（元）</w:t>
            </w:r>
          </w:p>
        </w:tc>
        <w:tc>
          <w:tcPr>
            <w:tcW w:w="857" w:type="dxa"/>
            <w:vAlign w:val="center"/>
          </w:tcPr>
          <w:p>
            <w:pPr>
              <w:widowControl/>
              <w:autoSpaceDE w:val="0"/>
              <w:autoSpaceDN w:val="0"/>
              <w:adjustRightInd w:val="0"/>
              <w:snapToGrid w:val="0"/>
              <w:spacing w:line="360" w:lineRule="exact"/>
              <w:ind w:left="-50" w:right="-50"/>
              <w:jc w:val="center"/>
              <w:rPr>
                <w:rFonts w:ascii="宋体" w:hAnsi="宋体" w:cs="宋体"/>
                <w:b/>
                <w:bCs/>
                <w:color w:val="000000"/>
                <w:kern w:val="0"/>
                <w:szCs w:val="21"/>
              </w:rPr>
            </w:pPr>
            <w:r>
              <w:rPr>
                <w:rFonts w:hint="eastAsia" w:ascii="宋体" w:hAnsi="宋体" w:cs="宋体"/>
                <w:b/>
                <w:bCs/>
                <w:color w:val="000000"/>
                <w:kern w:val="0"/>
                <w:szCs w:val="21"/>
              </w:rPr>
              <w:t>用途</w:t>
            </w:r>
          </w:p>
        </w:tc>
        <w:tc>
          <w:tcPr>
            <w:tcW w:w="736" w:type="dxa"/>
            <w:vAlign w:val="center"/>
          </w:tcPr>
          <w:p>
            <w:pPr>
              <w:widowControl/>
              <w:autoSpaceDE w:val="0"/>
              <w:autoSpaceDN w:val="0"/>
              <w:adjustRightInd w:val="0"/>
              <w:snapToGrid w:val="0"/>
              <w:spacing w:line="360" w:lineRule="exact"/>
              <w:ind w:left="-50" w:right="-50"/>
              <w:jc w:val="center"/>
              <w:rPr>
                <w:rFonts w:hint="eastAsia" w:ascii="宋体" w:hAnsi="宋体" w:eastAsia="宋体" w:cs="宋体"/>
                <w:b/>
                <w:bCs/>
                <w:color w:val="000000"/>
                <w:kern w:val="0"/>
                <w:szCs w:val="21"/>
                <w:lang w:val="en-US" w:eastAsia="zh-CN"/>
              </w:rPr>
            </w:pPr>
            <w:r>
              <w:rPr>
                <w:rFonts w:hint="eastAsia" w:ascii="宋体" w:hAnsi="宋体" w:cs="宋体"/>
                <w:b/>
                <w:bCs/>
                <w:color w:val="000000"/>
                <w:kern w:val="0"/>
                <w:szCs w:val="21"/>
                <w:lang w:val="en-US" w:eastAsia="zh-CN"/>
              </w:rPr>
              <w:t>现状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709" w:type="dxa"/>
            <w:vAlign w:val="center"/>
          </w:tcPr>
          <w:p>
            <w:pPr>
              <w:keepNext w:val="0"/>
              <w:keepLines w:val="0"/>
              <w:widowControl/>
              <w:suppressLineNumbers w:val="0"/>
              <w:jc w:val="center"/>
              <w:textAlignment w:val="center"/>
              <w:rPr>
                <w:rFonts w:hint="eastAsia" w:ascii="宋体" w:hAnsi="宋体"/>
                <w:sz w:val="21"/>
                <w:szCs w:val="20"/>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3022" w:type="dxa"/>
            <w:vAlign w:val="center"/>
          </w:tcPr>
          <w:p>
            <w:pPr>
              <w:keepNext w:val="0"/>
              <w:keepLines w:val="0"/>
              <w:widowControl/>
              <w:suppressLineNumbers w:val="0"/>
              <w:jc w:val="center"/>
              <w:textAlignment w:val="center"/>
              <w:rPr>
                <w:rFonts w:hint="eastAsia" w:ascii="宋体" w:hAnsi="宋体"/>
                <w:sz w:val="21"/>
                <w:szCs w:val="20"/>
                <w:lang w:val="en-US" w:eastAsia="zh-CN"/>
              </w:rPr>
            </w:pPr>
            <w:r>
              <w:rPr>
                <w:rFonts w:hint="eastAsia" w:ascii="宋体" w:hAnsi="宋体" w:eastAsia="宋体" w:cs="宋体"/>
                <w:i w:val="0"/>
                <w:iCs w:val="0"/>
                <w:color w:val="000000"/>
                <w:kern w:val="0"/>
                <w:sz w:val="20"/>
                <w:szCs w:val="20"/>
                <w:u w:val="none"/>
                <w:lang w:val="en-US" w:eastAsia="zh-CN" w:bidi="ar"/>
              </w:rPr>
              <w:t>滨水一里109号二层</w:t>
            </w:r>
          </w:p>
        </w:tc>
        <w:tc>
          <w:tcPr>
            <w:tcW w:w="964"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1371.87</w:t>
            </w:r>
          </w:p>
        </w:tc>
        <w:tc>
          <w:tcPr>
            <w:tcW w:w="789"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259"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34297</w:t>
            </w:r>
          </w:p>
        </w:tc>
        <w:tc>
          <w:tcPr>
            <w:tcW w:w="842"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w:t>
            </w:r>
          </w:p>
        </w:tc>
        <w:tc>
          <w:tcPr>
            <w:tcW w:w="1138"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100000</w:t>
            </w:r>
          </w:p>
        </w:tc>
        <w:tc>
          <w:tcPr>
            <w:tcW w:w="857"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商业</w:t>
            </w:r>
          </w:p>
        </w:tc>
        <w:tc>
          <w:tcPr>
            <w:tcW w:w="736"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空置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709" w:type="dxa"/>
            <w:vAlign w:val="center"/>
          </w:tcPr>
          <w:p>
            <w:pPr>
              <w:keepNext w:val="0"/>
              <w:keepLines w:val="0"/>
              <w:widowControl/>
              <w:suppressLineNumbers w:val="0"/>
              <w:jc w:val="center"/>
              <w:textAlignment w:val="center"/>
              <w:rPr>
                <w:rFonts w:hint="eastAsia" w:ascii="宋体" w:hAnsi="宋体"/>
                <w:sz w:val="21"/>
                <w:szCs w:val="20"/>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3022" w:type="dxa"/>
            <w:vAlign w:val="center"/>
          </w:tcPr>
          <w:p>
            <w:pPr>
              <w:keepNext w:val="0"/>
              <w:keepLines w:val="0"/>
              <w:widowControl/>
              <w:suppressLineNumbers w:val="0"/>
              <w:jc w:val="center"/>
              <w:textAlignment w:val="center"/>
              <w:rPr>
                <w:rFonts w:hint="eastAsia" w:ascii="宋体" w:hAnsi="宋体"/>
                <w:sz w:val="21"/>
                <w:szCs w:val="20"/>
                <w:lang w:val="en-US" w:eastAsia="zh-CN"/>
              </w:rPr>
            </w:pPr>
            <w:r>
              <w:rPr>
                <w:rFonts w:hint="eastAsia" w:ascii="宋体" w:hAnsi="宋体" w:eastAsia="宋体" w:cs="宋体"/>
                <w:i w:val="0"/>
                <w:iCs w:val="0"/>
                <w:color w:val="000000"/>
                <w:kern w:val="0"/>
                <w:sz w:val="20"/>
                <w:szCs w:val="20"/>
                <w:u w:val="none"/>
                <w:lang w:val="en-US" w:eastAsia="zh-CN" w:bidi="ar"/>
              </w:rPr>
              <w:t>滨水一里109号三层</w:t>
            </w:r>
          </w:p>
        </w:tc>
        <w:tc>
          <w:tcPr>
            <w:tcW w:w="964"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1372.10</w:t>
            </w:r>
          </w:p>
        </w:tc>
        <w:tc>
          <w:tcPr>
            <w:tcW w:w="789"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259"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30186</w:t>
            </w:r>
          </w:p>
        </w:tc>
        <w:tc>
          <w:tcPr>
            <w:tcW w:w="842"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w:t>
            </w:r>
          </w:p>
        </w:tc>
        <w:tc>
          <w:tcPr>
            <w:tcW w:w="1138"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100000</w:t>
            </w:r>
          </w:p>
        </w:tc>
        <w:tc>
          <w:tcPr>
            <w:tcW w:w="857" w:type="dxa"/>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商业</w:t>
            </w:r>
          </w:p>
        </w:tc>
        <w:tc>
          <w:tcPr>
            <w:tcW w:w="736" w:type="dxa"/>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空置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09" w:type="dxa"/>
            <w:vAlign w:val="center"/>
          </w:tcPr>
          <w:p>
            <w:pPr>
              <w:autoSpaceDE w:val="0"/>
              <w:autoSpaceDN w:val="0"/>
              <w:spacing w:line="360" w:lineRule="exact"/>
              <w:rPr>
                <w:rFonts w:ascii="宋体" w:hAnsi="宋体" w:cs="宋体"/>
                <w:color w:val="000000"/>
                <w:kern w:val="0"/>
                <w:szCs w:val="21"/>
              </w:rPr>
            </w:pPr>
            <w:r>
              <w:rPr>
                <w:rFonts w:hint="eastAsia" w:ascii="宋体" w:hAnsi="宋体" w:cs="宋体"/>
                <w:color w:val="000000"/>
                <w:kern w:val="0"/>
                <w:szCs w:val="21"/>
              </w:rPr>
              <w:t>备注</w:t>
            </w:r>
          </w:p>
        </w:tc>
        <w:tc>
          <w:tcPr>
            <w:tcW w:w="9607" w:type="dxa"/>
            <w:gridSpan w:val="8"/>
            <w:shd w:val="clear" w:color="auto" w:fill="auto"/>
          </w:tcPr>
          <w:p>
            <w:pPr>
              <w:rPr>
                <w:rFonts w:hint="eastAsia" w:ascii="宋体" w:hAnsi="宋体" w:cs="宋体"/>
                <w:b/>
                <w:color w:val="000000"/>
                <w:kern w:val="0"/>
                <w:szCs w:val="21"/>
              </w:rPr>
            </w:pPr>
            <w:r>
              <w:rPr>
                <w:rFonts w:hint="eastAsia"/>
                <w:b/>
                <w:bCs/>
                <w:sz w:val="24"/>
                <w:lang w:val="en-US" w:eastAsia="zh-CN"/>
              </w:rPr>
              <w:t>以上房产承租权公开竞价，租期为5年，租金按成交价每年递增5%。</w:t>
            </w:r>
            <w:r>
              <w:rPr>
                <w:rFonts w:hint="eastAsia" w:ascii="宋体" w:hAnsi="宋体" w:eastAsia="宋体" w:cs="宋体"/>
                <w:color w:val="000000"/>
                <w:kern w:val="0"/>
                <w:szCs w:val="21"/>
                <w:lang w:val="en-US" w:eastAsia="zh-CN"/>
              </w:rPr>
              <w:t>免租期2个月</w:t>
            </w:r>
            <w:r>
              <w:rPr>
                <w:rFonts w:hint="eastAsia" w:ascii="宋体" w:hAnsi="宋体" w:cs="宋体"/>
                <w:color w:val="000000"/>
                <w:kern w:val="0"/>
                <w:szCs w:val="21"/>
              </w:rPr>
              <w:t>竞价资格详见厦门市公共资源交易网配置信息公告及附件。</w:t>
            </w:r>
          </w:p>
        </w:tc>
      </w:tr>
    </w:tbl>
    <w:p>
      <w:pPr>
        <w:rPr>
          <w:rFonts w:ascii="宋体" w:hAnsi="宋体" w:cs="宋体"/>
          <w:color w:val="000000"/>
          <w:kern w:val="0"/>
          <w:szCs w:val="21"/>
        </w:rPr>
      </w:pPr>
      <w:r>
        <w:rPr>
          <w:rFonts w:hint="eastAsia" w:ascii="宋体" w:hAnsi="宋体"/>
          <w:b/>
          <w:color w:val="000000" w:themeColor="text1"/>
          <w:szCs w:val="21"/>
          <w14:textFill>
            <w14:solidFill>
              <w14:schemeClr w14:val="tx1"/>
            </w14:solidFill>
          </w14:textFill>
        </w:rPr>
        <w:t>二、竞价标的调查义务</w:t>
      </w:r>
    </w:p>
    <w:p>
      <w:pPr>
        <w:autoSpaceDE w:val="0"/>
        <w:autoSpaceDN w:val="0"/>
        <w:adjustRightInd w:val="0"/>
        <w:snapToGrid w:val="0"/>
        <w:spacing w:line="360" w:lineRule="exact"/>
        <w:ind w:firstLine="422" w:firstLineChars="200"/>
        <w:rPr>
          <w:color w:val="auto"/>
        </w:rPr>
      </w:pPr>
      <w:r>
        <w:rPr>
          <w:rFonts w:hint="eastAsia" w:ascii="宋体" w:hAnsi="宋体" w:cs="宋体"/>
          <w:b/>
          <w:color w:val="000000"/>
          <w:kern w:val="0"/>
          <w:szCs w:val="21"/>
          <w:u w:val="double"/>
        </w:rPr>
        <w:t>房屋现状为</w:t>
      </w:r>
      <w:r>
        <w:rPr>
          <w:rFonts w:hint="eastAsia" w:ascii="宋体" w:hAnsi="宋体" w:cs="宋体"/>
          <w:b/>
          <w:color w:val="000000"/>
          <w:kern w:val="0"/>
          <w:szCs w:val="21"/>
          <w:u w:val="double"/>
          <w:lang w:val="en-US" w:eastAsia="zh-CN"/>
        </w:rPr>
        <w:t>空置</w:t>
      </w:r>
      <w:r>
        <w:rPr>
          <w:rFonts w:hint="eastAsia" w:ascii="宋体" w:hAnsi="宋体" w:cs="宋体"/>
          <w:b/>
          <w:color w:val="000000"/>
          <w:kern w:val="0"/>
          <w:szCs w:val="21"/>
          <w:u w:val="double"/>
        </w:rPr>
        <w:t>，标的物</w:t>
      </w:r>
      <w:r>
        <w:rPr>
          <w:rFonts w:hint="eastAsia" w:ascii="宋体" w:hAnsi="宋体" w:cs="宋体"/>
          <w:b/>
          <w:color w:val="auto"/>
          <w:kern w:val="0"/>
          <w:szCs w:val="21"/>
          <w:u w:val="double"/>
        </w:rPr>
        <w:t>和附近其他相邻建筑物可能存在显性或隐性瑕疵；标的物涉及水、电、消防等配套项目的使用情况需要竞买人自行调查核实，并确认能自行解决。</w:t>
      </w:r>
      <w:r>
        <w:rPr>
          <w:rFonts w:hint="eastAsia" w:ascii="宋体" w:hAnsi="宋体" w:cs="宋体"/>
          <w:i w:val="0"/>
          <w:iCs w:val="0"/>
          <w:color w:val="auto"/>
          <w:kern w:val="0"/>
          <w:sz w:val="20"/>
          <w:szCs w:val="20"/>
          <w:u w:val="none"/>
          <w:lang w:val="en-US" w:eastAsia="zh-CN" w:bidi="ar"/>
        </w:rPr>
        <w:t>该店面水表户号与滨水一里109号一层共用，中标人需自行与一层承租户协商缴交方式，每月及时缴交相关费用。</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auto"/>
          <w:szCs w:val="21"/>
        </w:rPr>
        <w:t>本次竞价是以标的现状(包括地址、面积、房屋质量现状等)进行竞价，但不含家具和电器等设备。甲方已经在竞价前通过相关媒体及网站上进行了公告和标的展示，同时向乙方充分展</w:t>
      </w:r>
      <w:r>
        <w:rPr>
          <w:rFonts w:hint="eastAsia" w:ascii="宋体" w:hAnsi="宋体"/>
          <w:color w:val="000000" w:themeColor="text1"/>
          <w:szCs w:val="21"/>
          <w14:textFill>
            <w14:solidFill>
              <w14:schemeClr w14:val="tx1"/>
            </w14:solidFill>
          </w14:textFill>
        </w:rPr>
        <w:t>示了标的涉及的文书材料和标的的实际状况，乙方在公告规定的展示期间内，已对标的进行了了解、咨询，自愿参加本次竞价。</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乙双方签署本协议，即视为甲方已经就竞价标的的来源、瑕疵和风险向乙方完成了充分的披露和说明，同时乙方承诺自行到相关部门了解、调查标的风险，在竞价前对标的的情况和价值进行自我判定，竞价成交后甲方及委托人对于标的及标的指向的价值、面积和瑕疵等不承担担保责任。</w:t>
      </w:r>
    </w:p>
    <w:p>
      <w:p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三、标的瑕疵担保责任的免除</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1、本次是以标的现状进行竞价，会前提供的各项数据仅供参考，甲方及委托人均不作保证。</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本次竞价的房产地址门牌号码、面积以及准确</w:t>
      </w:r>
      <w:r>
        <w:rPr>
          <w:rFonts w:hint="eastAsia" w:ascii="宋体" w:hAnsi="宋体"/>
          <w:color w:val="000000" w:themeColor="text1"/>
          <w:szCs w:val="21"/>
          <w:lang w:val="en-US" w:eastAsia="zh-CN"/>
          <w14:textFill>
            <w14:solidFill>
              <w14:schemeClr w14:val="tx1"/>
            </w14:solidFill>
          </w14:textFill>
        </w:rPr>
        <w:t>数字</w:t>
      </w:r>
      <w:r>
        <w:rPr>
          <w:rFonts w:hint="eastAsia" w:ascii="宋体" w:hAnsi="宋体"/>
          <w:color w:val="000000" w:themeColor="text1"/>
          <w:szCs w:val="21"/>
          <w14:textFill>
            <w14:solidFill>
              <w14:schemeClr w14:val="tx1"/>
            </w14:solidFill>
          </w14:textFill>
        </w:rPr>
        <w:t xml:space="preserve">，以开发商在厦门市相关政府部门备案或者办理产权登记后的权证登记信息为准，现物业的图线、房产面积仅作参考，不具效力。竞价成功后，登记信息与标的现物业提供信息不符的，甲方及委托人不承担担保责任。 </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2、因建筑设计等原因，房产实际可作为经营的使用价值不同，乙方需谨慎对房产进行实地的查验。甲方及委托人对标的的实际使用效用不作保证。</w:t>
      </w:r>
    </w:p>
    <w:p>
      <w:pPr>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3、此次竞价的标的不以建筑面积为计价单位，甲方与委托人对每层房产的面积、质量等不作保证，标的实际建筑面积与产权登记及甲方提供的参考数据不一致的，不影响标的的成交价格。</w:t>
      </w:r>
    </w:p>
    <w:p>
      <w:pPr>
        <w:pStyle w:val="3"/>
        <w:spacing w:before="31"/>
        <w:ind w:left="9" w:right="1099" w:firstLine="472"/>
        <w:jc w:val="both"/>
        <w:rPr>
          <w:rFonts w:hint="eastAsia" w:ascii="宋体" w:hAnsi="宋体" w:eastAsia="宋体" w:cs="Times New Roman"/>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u w:val="single"/>
          <w:lang w:val="en-US" w:eastAsia="zh-CN" w:bidi="ar-SA"/>
          <w14:textFill>
            <w14:solidFill>
              <w14:schemeClr w14:val="tx1"/>
            </w14:solidFill>
          </w14:textFill>
        </w:rPr>
        <w:t>4.标的物《中华人民共和国不动产权证书》尚未办理，竞价人报名参加竞价即表明已知 悉该情况，如拟经营需要提供《中华人民共和国不动产权证书》才能经营的项目，请不要参 加本次竞拍。竞标人成为最终中标人后不得因此向招标人提出任何诉求，且竞标人应自行承 担由此造成的一切后果。</w:t>
      </w:r>
    </w:p>
    <w:p>
      <w:pPr>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乙方确认并同意甲方已经通过对标的的展示，向乙方明确说明和揭示了标的的瑕疵、缺陷和风险，乙方已经通过查阅文件、现场查看标的知悉上述瑕疵、缺陷和风险，标的出现该等瑕疵、缺陷或风险的，委托人不承担任何责任，乙方成为最终</w:t>
      </w:r>
      <w:r>
        <w:rPr>
          <w:rFonts w:hint="eastAsia" w:ascii="宋体" w:hAnsi="宋体"/>
          <w:color w:val="000000" w:themeColor="text1"/>
          <w:szCs w:val="21"/>
          <w:lang w:eastAsia="zh-CN"/>
          <w14:textFill>
            <w14:solidFill>
              <w14:schemeClr w14:val="tx1"/>
            </w14:solidFill>
          </w14:textFill>
        </w:rPr>
        <w:t>竞得人</w:t>
      </w:r>
      <w:r>
        <w:rPr>
          <w:rFonts w:hint="eastAsia" w:ascii="宋体" w:hAnsi="宋体"/>
          <w:color w:val="000000" w:themeColor="text1"/>
          <w:szCs w:val="21"/>
          <w14:textFill>
            <w14:solidFill>
              <w14:schemeClr w14:val="tx1"/>
            </w14:solidFill>
          </w14:textFill>
        </w:rPr>
        <w:t>后不得因此要求解除本合同，且无权要求委托人及甲方对此采取任何补救措施、支付任何费用或补偿款项或承担任何损害赔偿责任(侵权责任)，也无权要求减少、降低成交价款及佣金的金额或拒绝支付成交价款及佣金。</w:t>
      </w:r>
    </w:p>
    <w:p>
      <w:pPr>
        <w:autoSpaceDE w:val="0"/>
        <w:autoSpaceDN w:val="0"/>
        <w:adjustRightInd w:val="0"/>
        <w:snapToGrid w:val="0"/>
        <w:spacing w:line="360" w:lineRule="exact"/>
        <w:ind w:firstLine="420" w:firstLineChars="200"/>
        <w:rPr>
          <w:rFonts w:hint="eastAsia" w:ascii="宋体" w:hAnsi="宋体" w:eastAsia="宋体" w:cs="Times New Roman"/>
          <w:color w:val="000000" w:themeColor="text1"/>
          <w:szCs w:val="21"/>
          <w:u w:val="single"/>
          <w14:textFill>
            <w14:solidFill>
              <w14:schemeClr w14:val="tx1"/>
            </w14:solidFill>
          </w14:textFill>
        </w:rPr>
      </w:pPr>
      <w:r>
        <w:rPr>
          <w:rFonts w:hint="eastAsia" w:ascii="宋体" w:hAnsi="宋体" w:eastAsia="宋体" w:cs="Times New Roman"/>
          <w:color w:val="000000" w:themeColor="text1"/>
          <w:szCs w:val="21"/>
          <w:u w:val="single"/>
          <w14:textFill>
            <w14:solidFill>
              <w14:schemeClr w14:val="tx1"/>
            </w14:solidFill>
          </w14:textFill>
        </w:rPr>
        <w:t xml:space="preserve">5、承租人在对租赁房屋进行装修或改造时，装修/改造/设备安装方案应事先以书面方式 征得委托人及物业管理处书面同意并向相关主管部门（如消防、环保、卫生等） 申请取得相 关批文批件后方可施工。但委托人的同意并不免除承租人对租赁房屋进行装修或改造时应事 先取得政府有关部门的审批许可。承租人保证其装修/改造的合法合规性，按有关规定自行向 政府有关部门办理租赁房屋经营及装修/改造需要的审批手续，委托人不承担任何有关承租人 未能通过相关审批及验收的责任。承租人在对租赁房屋进行装修改造时，涉及对租赁房屋原 结构或设备设施（包括但不限于：拆除或改造原房屋隔墙/楼梯/楼板/卫生间等）的改造或破 坏，委托人将视承租人装修/改造情况酌情收取装修恢复保证金。对同标的内租赁房屋原结构 或设备设施改造或破坏的，同等视装修改造情况收取装修恢复保证金，收取标准详见本协议 </w:t>
      </w:r>
      <w:r>
        <w:rPr>
          <w:rFonts w:hint="eastAsia" w:ascii="宋体" w:hAnsi="宋体" w:eastAsia="宋体" w:cs="Times New Roman"/>
          <w:color w:val="000000" w:themeColor="text1"/>
          <w:szCs w:val="21"/>
          <w:u w:val="single"/>
          <w14:textFill>
            <w14:solidFill>
              <w14:schemeClr w14:val="tx1"/>
            </w14:solidFill>
          </w14:textFill>
        </w:rPr>
        <w:tab/>
      </w:r>
      <w:r>
        <w:rPr>
          <w:rFonts w:hint="eastAsia" w:ascii="宋体" w:hAnsi="宋体" w:eastAsia="宋体" w:cs="Times New Roman"/>
          <w:color w:val="000000" w:themeColor="text1"/>
          <w:szCs w:val="21"/>
          <w:u w:val="single"/>
          <w14:textFill>
            <w14:solidFill>
              <w14:schemeClr w14:val="tx1"/>
            </w14:solidFill>
          </w14:textFill>
        </w:rPr>
        <w:t>《附件 1》。</w:t>
      </w:r>
    </w:p>
    <w:p>
      <w:pPr>
        <w:autoSpaceDE w:val="0"/>
        <w:autoSpaceDN w:val="0"/>
        <w:adjustRightInd w:val="0"/>
        <w:snapToGrid w:val="0"/>
        <w:spacing w:line="360" w:lineRule="exact"/>
        <w:rPr>
          <w:rFonts w:hint="default" w:ascii="宋体" w:hAnsi="宋体" w:eastAsia="宋体"/>
          <w:b/>
          <w:color w:val="000000" w:themeColor="text1"/>
          <w:szCs w:val="21"/>
          <w:lang w:val="en-US" w:eastAsia="zh-CN"/>
          <w14:textFill>
            <w14:solidFill>
              <w14:schemeClr w14:val="tx1"/>
            </w14:solidFill>
          </w14:textFill>
        </w:rPr>
      </w:pPr>
      <w:r>
        <w:rPr>
          <w:rFonts w:hint="eastAsia" w:ascii="宋体" w:hAnsi="宋体"/>
          <w:b/>
          <w:color w:val="000000" w:themeColor="text1"/>
          <w:szCs w:val="21"/>
          <w14:textFill>
            <w14:solidFill>
              <w14:schemeClr w14:val="tx1"/>
            </w14:solidFill>
          </w14:textFill>
        </w:rPr>
        <w:t>四、竞价资格及</w:t>
      </w:r>
      <w:r>
        <w:rPr>
          <w:rFonts w:hint="eastAsia" w:ascii="宋体" w:hAnsi="宋体"/>
          <w:b/>
          <w:color w:val="000000" w:themeColor="text1"/>
          <w:szCs w:val="21"/>
          <w:lang w:val="en-US" w:eastAsia="zh-CN"/>
          <w14:textFill>
            <w14:solidFill>
              <w14:schemeClr w14:val="tx1"/>
            </w14:solidFill>
          </w14:textFill>
        </w:rPr>
        <w:t>其他需要披露的事项</w:t>
      </w:r>
    </w:p>
    <w:p>
      <w:pPr>
        <w:autoSpaceDE w:val="0"/>
        <w:autoSpaceDN w:val="0"/>
        <w:adjustRightInd w:val="0"/>
        <w:snapToGrid w:val="0"/>
        <w:spacing w:line="360" w:lineRule="exact"/>
        <w:ind w:firstLine="414" w:firstLineChars="200"/>
        <w:rPr>
          <w:rFonts w:hint="eastAsia" w:ascii="宋体" w:hAnsi="宋体" w:cs="微软雅黑"/>
          <w:b/>
          <w:color w:val="000000" w:themeColor="text1"/>
          <w:spacing w:val="-2"/>
          <w:szCs w:val="21"/>
          <w14:textFill>
            <w14:solidFill>
              <w14:schemeClr w14:val="tx1"/>
            </w14:solidFill>
          </w14:textFill>
        </w:rPr>
      </w:pPr>
      <w:r>
        <w:rPr>
          <w:rFonts w:hint="eastAsia" w:ascii="宋体" w:hAnsi="宋体" w:cs="微软雅黑"/>
          <w:b/>
          <w:color w:val="000000" w:themeColor="text1"/>
          <w:spacing w:val="-2"/>
          <w:szCs w:val="21"/>
          <w14:textFill>
            <w14:solidFill>
              <w14:schemeClr w14:val="tx1"/>
            </w14:solidFill>
          </w14:textFill>
        </w:rPr>
        <w:t>1、招租条件设定：</w:t>
      </w:r>
    </w:p>
    <w:p>
      <w:pPr>
        <w:autoSpaceDE w:val="0"/>
        <w:autoSpaceDN w:val="0"/>
        <w:adjustRightInd w:val="0"/>
        <w:snapToGrid w:val="0"/>
        <w:spacing w:line="360" w:lineRule="exact"/>
        <w:ind w:firstLine="412" w:firstLineChars="200"/>
        <w:rPr>
          <w:rFonts w:hint="eastAsia" w:ascii="宋体" w:hAnsi="宋体" w:cs="微软雅黑"/>
          <w:b w:val="0"/>
          <w:bCs/>
          <w:color w:val="000000" w:themeColor="text1"/>
          <w:spacing w:val="-2"/>
          <w:szCs w:val="21"/>
          <w14:textFill>
            <w14:solidFill>
              <w14:schemeClr w14:val="tx1"/>
            </w14:solidFill>
          </w14:textFill>
        </w:rPr>
      </w:pPr>
      <w:r>
        <w:rPr>
          <w:rFonts w:hint="eastAsia" w:ascii="宋体" w:hAnsi="宋体" w:cs="微软雅黑"/>
          <w:b w:val="0"/>
          <w:bCs/>
          <w:color w:val="000000" w:themeColor="text1"/>
          <w:spacing w:val="-2"/>
          <w:szCs w:val="21"/>
          <w14:textFill>
            <w14:solidFill>
              <w14:schemeClr w14:val="tx1"/>
            </w14:solidFill>
          </w14:textFill>
        </w:rPr>
        <w:t>（1）租赁年限：5年；</w:t>
      </w:r>
    </w:p>
    <w:p>
      <w:pPr>
        <w:autoSpaceDE w:val="0"/>
        <w:autoSpaceDN w:val="0"/>
        <w:adjustRightInd w:val="0"/>
        <w:snapToGrid w:val="0"/>
        <w:spacing w:line="360" w:lineRule="exact"/>
        <w:ind w:firstLine="412" w:firstLineChars="200"/>
        <w:rPr>
          <w:rFonts w:hint="eastAsia" w:ascii="宋体" w:hAnsi="宋体" w:cs="微软雅黑"/>
          <w:b w:val="0"/>
          <w:bCs/>
          <w:color w:val="000000" w:themeColor="text1"/>
          <w:spacing w:val="-2"/>
          <w:szCs w:val="21"/>
          <w14:textFill>
            <w14:solidFill>
              <w14:schemeClr w14:val="tx1"/>
            </w14:solidFill>
          </w14:textFill>
        </w:rPr>
      </w:pPr>
      <w:r>
        <w:rPr>
          <w:rFonts w:hint="eastAsia" w:ascii="宋体" w:hAnsi="宋体" w:cs="微软雅黑"/>
          <w:b w:val="0"/>
          <w:bCs/>
          <w:color w:val="000000" w:themeColor="text1"/>
          <w:spacing w:val="-2"/>
          <w:szCs w:val="21"/>
          <w14:textFill>
            <w14:solidFill>
              <w14:schemeClr w14:val="tx1"/>
            </w14:solidFill>
          </w14:textFill>
        </w:rPr>
        <w:t>（2）免租期：2个月；</w:t>
      </w:r>
    </w:p>
    <w:p>
      <w:pPr>
        <w:autoSpaceDE w:val="0"/>
        <w:autoSpaceDN w:val="0"/>
        <w:adjustRightInd w:val="0"/>
        <w:snapToGrid w:val="0"/>
        <w:spacing w:line="360" w:lineRule="exact"/>
        <w:ind w:firstLine="412" w:firstLineChars="200"/>
        <w:rPr>
          <w:rFonts w:hint="eastAsia" w:ascii="宋体" w:hAnsi="宋体" w:cs="微软雅黑"/>
          <w:b w:val="0"/>
          <w:bCs/>
          <w:color w:val="000000" w:themeColor="text1"/>
          <w:spacing w:val="-2"/>
          <w:szCs w:val="21"/>
          <w14:textFill>
            <w14:solidFill>
              <w14:schemeClr w14:val="tx1"/>
            </w14:solidFill>
          </w14:textFill>
        </w:rPr>
      </w:pPr>
      <w:r>
        <w:rPr>
          <w:rFonts w:hint="eastAsia" w:ascii="宋体" w:hAnsi="宋体" w:cs="微软雅黑"/>
          <w:b w:val="0"/>
          <w:bCs/>
          <w:color w:val="000000" w:themeColor="text1"/>
          <w:spacing w:val="-2"/>
          <w:szCs w:val="21"/>
          <w14:textFill>
            <w14:solidFill>
              <w14:schemeClr w14:val="tx1"/>
            </w14:solidFill>
          </w14:textFill>
        </w:rPr>
        <w:t>（3）租金收取方式：自第二个计租年度起，租金在实际中标价的基础上逐年递增5%；</w:t>
      </w:r>
    </w:p>
    <w:p>
      <w:pPr>
        <w:autoSpaceDE w:val="0"/>
        <w:autoSpaceDN w:val="0"/>
        <w:adjustRightInd w:val="0"/>
        <w:snapToGrid w:val="0"/>
        <w:spacing w:line="360" w:lineRule="exact"/>
        <w:ind w:firstLine="412" w:firstLineChars="200"/>
        <w:rPr>
          <w:rFonts w:hint="eastAsia" w:ascii="宋体" w:hAnsi="宋体" w:cs="微软雅黑"/>
          <w:b w:val="0"/>
          <w:bCs/>
          <w:color w:val="000000" w:themeColor="text1"/>
          <w:spacing w:val="-2"/>
          <w:szCs w:val="21"/>
          <w14:textFill>
            <w14:solidFill>
              <w14:schemeClr w14:val="tx1"/>
            </w14:solidFill>
          </w14:textFill>
        </w:rPr>
      </w:pPr>
      <w:r>
        <w:rPr>
          <w:rFonts w:hint="eastAsia" w:ascii="宋体" w:hAnsi="宋体" w:cs="微软雅黑"/>
          <w:b w:val="0"/>
          <w:bCs/>
          <w:color w:val="000000" w:themeColor="text1"/>
          <w:spacing w:val="-2"/>
          <w:szCs w:val="21"/>
          <w14:textFill>
            <w14:solidFill>
              <w14:schemeClr w14:val="tx1"/>
            </w14:solidFill>
          </w14:textFill>
        </w:rPr>
        <w:t>（4）租赁业态：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pPr>
        <w:autoSpaceDE w:val="0"/>
        <w:autoSpaceDN w:val="0"/>
        <w:adjustRightInd w:val="0"/>
        <w:snapToGrid w:val="0"/>
        <w:spacing w:line="360" w:lineRule="exact"/>
        <w:ind w:firstLine="414" w:firstLineChars="200"/>
        <w:rPr>
          <w:rFonts w:hint="eastAsia" w:ascii="宋体" w:hAnsi="宋体" w:cs="微软雅黑"/>
          <w:b/>
          <w:color w:val="000000" w:themeColor="text1"/>
          <w:spacing w:val="-2"/>
          <w:szCs w:val="21"/>
          <w14:textFill>
            <w14:solidFill>
              <w14:schemeClr w14:val="tx1"/>
            </w14:solidFill>
          </w14:textFill>
        </w:rPr>
      </w:pPr>
      <w:r>
        <w:rPr>
          <w:rFonts w:hint="eastAsia" w:ascii="宋体" w:hAnsi="宋体" w:cs="微软雅黑"/>
          <w:b/>
          <w:color w:val="000000" w:themeColor="text1"/>
          <w:spacing w:val="-2"/>
          <w:szCs w:val="21"/>
          <w14:textFill>
            <w14:solidFill>
              <w14:schemeClr w14:val="tx1"/>
            </w14:solidFill>
          </w14:textFill>
        </w:rPr>
        <w:t>2、竞标人资格设定：</w:t>
      </w:r>
    </w:p>
    <w:p>
      <w:pPr>
        <w:autoSpaceDE w:val="0"/>
        <w:autoSpaceDN w:val="0"/>
        <w:adjustRightInd w:val="0"/>
        <w:snapToGrid w:val="0"/>
        <w:spacing w:line="360" w:lineRule="exact"/>
        <w:ind w:firstLine="412" w:firstLineChars="200"/>
        <w:rPr>
          <w:rFonts w:hint="eastAsia" w:ascii="宋体" w:hAnsi="宋体" w:cs="微软雅黑"/>
          <w:b w:val="0"/>
          <w:bCs/>
          <w:color w:val="000000" w:themeColor="text1"/>
          <w:spacing w:val="-2"/>
          <w:szCs w:val="21"/>
          <w14:textFill>
            <w14:solidFill>
              <w14:schemeClr w14:val="tx1"/>
            </w14:solidFill>
          </w14:textFill>
        </w:rPr>
      </w:pPr>
      <w:r>
        <w:rPr>
          <w:rFonts w:hint="eastAsia" w:ascii="宋体" w:hAnsi="宋体" w:cs="微软雅黑"/>
          <w:b w:val="0"/>
          <w:bCs/>
          <w:color w:val="000000" w:themeColor="text1"/>
          <w:spacing w:val="-2"/>
          <w:szCs w:val="21"/>
          <w14:textFill>
            <w14:solidFill>
              <w14:schemeClr w14:val="tx1"/>
            </w14:solidFill>
          </w14:textFill>
        </w:rPr>
        <w:t>（1）竞标人必须是具有完全民事行为能力的自然人，以及依法设立的法人和其他组织；</w:t>
      </w:r>
    </w:p>
    <w:p>
      <w:pPr>
        <w:autoSpaceDE w:val="0"/>
        <w:autoSpaceDN w:val="0"/>
        <w:adjustRightInd w:val="0"/>
        <w:snapToGrid w:val="0"/>
        <w:spacing w:line="360" w:lineRule="exact"/>
        <w:ind w:firstLine="412" w:firstLineChars="200"/>
        <w:rPr>
          <w:rFonts w:hint="eastAsia" w:ascii="宋体" w:hAnsi="宋体" w:cs="微软雅黑"/>
          <w:b w:val="0"/>
          <w:bCs/>
          <w:color w:val="000000" w:themeColor="text1"/>
          <w:spacing w:val="-2"/>
          <w:szCs w:val="21"/>
          <w14:textFill>
            <w14:solidFill>
              <w14:schemeClr w14:val="tx1"/>
            </w14:solidFill>
          </w14:textFill>
        </w:rPr>
      </w:pPr>
      <w:r>
        <w:rPr>
          <w:rFonts w:hint="eastAsia" w:ascii="宋体" w:hAnsi="宋体" w:cs="微软雅黑"/>
          <w:b w:val="0"/>
          <w:bCs/>
          <w:color w:val="000000" w:themeColor="text1"/>
          <w:spacing w:val="-2"/>
          <w:szCs w:val="21"/>
          <w14:textFill>
            <w14:solidFill>
              <w14:schemeClr w14:val="tx1"/>
            </w14:solidFill>
          </w14:textFill>
        </w:rPr>
        <w:t>（2）通过“信用中国”、“中国执行信息公开网”、“中国政府采购网”等公开渠道查询的本单位信用记录，应不存在《中华人民共和国政府采购法实施条例》第十九条规定的行政处罚记录或未被列入“经营异常名录”、“严重违法失信名单”、“政府采购严重违法失信行为记录”或“社会信用体系失信主体名单（主要为失信被执行人、重大税收违法案件当事人、海关失信认证企业名单以及安全生产、出入境检验检疫等领域的严重失信主体）”等。</w:t>
      </w:r>
    </w:p>
    <w:p>
      <w:pPr>
        <w:pStyle w:val="2"/>
        <w:ind w:firstLine="412" w:firstLineChars="200"/>
        <w:jc w:val="left"/>
        <w:rPr>
          <w:rFonts w:hint="eastAsia"/>
          <w:u w:val="single"/>
        </w:rPr>
      </w:pPr>
      <w:r>
        <w:rPr>
          <w:rFonts w:hint="eastAsia" w:ascii="宋体" w:hAnsi="宋体" w:eastAsia="宋体" w:cs="微软雅黑"/>
          <w:b w:val="0"/>
          <w:bCs w:val="0"/>
          <w:color w:val="000000" w:themeColor="text1"/>
          <w:spacing w:val="-2"/>
          <w:kern w:val="2"/>
          <w:sz w:val="21"/>
          <w:szCs w:val="21"/>
          <w:u w:val="single"/>
          <w:lang w:val="en-US" w:eastAsia="zh-CN" w:bidi="ar-SA"/>
          <w14:textFill>
            <w14:solidFill>
              <w14:schemeClr w14:val="tx1"/>
            </w14:solidFill>
          </w14:textFill>
        </w:rPr>
        <w:t>根据委托人《商户信用管理办法(试行)》规定，</w:t>
      </w:r>
      <w:r>
        <w:rPr>
          <w:rFonts w:hint="eastAsia" w:ascii="宋体" w:hAnsi="宋体" w:eastAsia="宋体" w:cs="微软雅黑"/>
          <w:b/>
          <w:bCs/>
          <w:color w:val="000000" w:themeColor="text1"/>
          <w:spacing w:val="-2"/>
          <w:kern w:val="2"/>
          <w:sz w:val="21"/>
          <w:szCs w:val="21"/>
          <w:u w:val="single"/>
          <w:lang w:val="en-US" w:eastAsia="zh-CN" w:bidi="ar-SA"/>
          <w14:textFill>
            <w14:solidFill>
              <w14:schemeClr w14:val="tx1"/>
            </w14:solidFill>
          </w14:textFill>
        </w:rPr>
        <w:t>已列入商户失信黑名单的不得报名参加竞价</w:t>
      </w:r>
      <w:r>
        <w:rPr>
          <w:rFonts w:hint="eastAsia" w:ascii="宋体" w:hAnsi="宋体" w:eastAsia="宋体" w:cs="微软雅黑"/>
          <w:b w:val="0"/>
          <w:bCs w:val="0"/>
          <w:color w:val="000000" w:themeColor="text1"/>
          <w:spacing w:val="-2"/>
          <w:kern w:val="2"/>
          <w:sz w:val="21"/>
          <w:szCs w:val="21"/>
          <w:u w:val="single"/>
          <w:lang w:val="en-US" w:eastAsia="zh-CN" w:bidi="ar-SA"/>
          <w14:textFill>
            <w14:solidFill>
              <w14:schemeClr w14:val="tx1"/>
            </w14:solidFill>
          </w14:textFill>
        </w:rPr>
        <w:t>。根据委托人要求，所有竞价人的竞价资料须经委托人审核通过后，方可取得竞价资格。意向竞价人应提供真实资料，因意向竞价人提供不实资料，进行虚假陈述，隐瞒事实真相所造成 的一切后果，应自行承担相应的法律责任及后果。</w:t>
      </w:r>
    </w:p>
    <w:p>
      <w:pPr>
        <w:autoSpaceDE w:val="0"/>
        <w:autoSpaceDN w:val="0"/>
        <w:adjustRightInd w:val="0"/>
        <w:snapToGrid w:val="0"/>
        <w:spacing w:line="360" w:lineRule="exact"/>
        <w:ind w:firstLine="414" w:firstLineChars="200"/>
        <w:rPr>
          <w:rFonts w:hint="eastAsia" w:ascii="宋体" w:hAnsi="宋体" w:cs="微软雅黑"/>
          <w:b/>
          <w:color w:val="000000" w:themeColor="text1"/>
          <w:spacing w:val="-2"/>
          <w:szCs w:val="21"/>
          <w14:textFill>
            <w14:solidFill>
              <w14:schemeClr w14:val="tx1"/>
            </w14:solidFill>
          </w14:textFill>
        </w:rPr>
      </w:pPr>
      <w:r>
        <w:rPr>
          <w:rFonts w:hint="eastAsia" w:ascii="宋体" w:hAnsi="宋体" w:cs="微软雅黑"/>
          <w:b/>
          <w:color w:val="000000" w:themeColor="text1"/>
          <w:spacing w:val="-2"/>
          <w:szCs w:val="21"/>
          <w:lang w:val="en-US" w:eastAsia="zh-CN"/>
          <w14:textFill>
            <w14:solidFill>
              <w14:schemeClr w14:val="tx1"/>
            </w14:solidFill>
          </w14:textFill>
        </w:rPr>
        <w:t>竞价申请</w:t>
      </w:r>
      <w:r>
        <w:rPr>
          <w:rFonts w:hint="eastAsia" w:ascii="宋体" w:hAnsi="宋体" w:cs="微软雅黑"/>
          <w:b/>
          <w:color w:val="000000" w:themeColor="text1"/>
          <w:spacing w:val="-2"/>
          <w:szCs w:val="21"/>
          <w14:textFill>
            <w14:solidFill>
              <w14:schemeClr w14:val="tx1"/>
            </w14:solidFill>
          </w14:textFill>
        </w:rPr>
        <w:t>：</w:t>
      </w:r>
    </w:p>
    <w:p>
      <w:pPr>
        <w:autoSpaceDE w:val="0"/>
        <w:autoSpaceDN w:val="0"/>
        <w:adjustRightInd w:val="0"/>
        <w:snapToGrid w:val="0"/>
        <w:spacing w:line="360" w:lineRule="exact"/>
        <w:ind w:firstLine="412" w:firstLineChars="200"/>
        <w:rPr>
          <w:rFonts w:hint="eastAsia" w:ascii="宋体" w:hAnsi="宋体" w:cs="微软雅黑"/>
          <w:b/>
          <w:color w:val="000000" w:themeColor="text1"/>
          <w:spacing w:val="-2"/>
          <w:szCs w:val="21"/>
          <w14:textFill>
            <w14:solidFill>
              <w14:schemeClr w14:val="tx1"/>
            </w14:solidFill>
          </w14:textFill>
        </w:rPr>
      </w:pPr>
      <w:r>
        <w:rPr>
          <w:rFonts w:hint="eastAsia" w:ascii="宋体" w:hAnsi="宋体" w:cs="微软雅黑"/>
          <w:b w:val="0"/>
          <w:bCs/>
          <w:color w:val="000000" w:themeColor="text1"/>
          <w:spacing w:val="-2"/>
          <w:szCs w:val="21"/>
          <w14:textFill>
            <w14:solidFill>
              <w14:schemeClr w14:val="tx1"/>
            </w14:solidFill>
          </w14:textFill>
        </w:rPr>
        <w:t>报名时间：</w:t>
      </w:r>
      <w:r>
        <w:rPr>
          <w:rFonts w:hint="eastAsia" w:ascii="宋体" w:hAnsi="宋体" w:cs="微软雅黑"/>
          <w:b/>
          <w:color w:val="000000" w:themeColor="text1"/>
          <w:spacing w:val="-2"/>
          <w:szCs w:val="21"/>
          <w14:textFill>
            <w14:solidFill>
              <w14:schemeClr w14:val="tx1"/>
            </w14:solidFill>
          </w14:textFill>
        </w:rPr>
        <w:t>2024年</w:t>
      </w:r>
      <w:r>
        <w:rPr>
          <w:rFonts w:hint="eastAsia" w:ascii="宋体" w:hAnsi="宋体" w:cs="微软雅黑"/>
          <w:b/>
          <w:color w:val="000000" w:themeColor="text1"/>
          <w:spacing w:val="-2"/>
          <w:szCs w:val="21"/>
          <w:lang w:val="en-US" w:eastAsia="zh-CN"/>
          <w14:textFill>
            <w14:solidFill>
              <w14:schemeClr w14:val="tx1"/>
            </w14:solidFill>
          </w14:textFill>
        </w:rPr>
        <w:t>4</w:t>
      </w:r>
      <w:r>
        <w:rPr>
          <w:rFonts w:hint="eastAsia" w:ascii="宋体" w:hAnsi="宋体" w:cs="微软雅黑"/>
          <w:b/>
          <w:color w:val="000000" w:themeColor="text1"/>
          <w:spacing w:val="-2"/>
          <w:szCs w:val="21"/>
          <w14:textFill>
            <w14:solidFill>
              <w14:schemeClr w14:val="tx1"/>
            </w14:solidFill>
          </w14:textFill>
        </w:rPr>
        <w:t>月</w:t>
      </w:r>
      <w:r>
        <w:rPr>
          <w:rFonts w:hint="eastAsia" w:ascii="宋体" w:hAnsi="宋体" w:cs="微软雅黑"/>
          <w:b/>
          <w:color w:val="000000" w:themeColor="text1"/>
          <w:spacing w:val="-2"/>
          <w:szCs w:val="21"/>
          <w:lang w:val="en-US" w:eastAsia="zh-CN"/>
          <w14:textFill>
            <w14:solidFill>
              <w14:schemeClr w14:val="tx1"/>
            </w14:solidFill>
          </w14:textFill>
        </w:rPr>
        <w:t>15</w:t>
      </w:r>
      <w:r>
        <w:rPr>
          <w:rFonts w:hint="eastAsia" w:ascii="宋体" w:hAnsi="宋体" w:cs="微软雅黑"/>
          <w:b/>
          <w:color w:val="000000" w:themeColor="text1"/>
          <w:spacing w:val="-2"/>
          <w:szCs w:val="21"/>
          <w14:textFill>
            <w14:solidFill>
              <w14:schemeClr w14:val="tx1"/>
            </w14:solidFill>
          </w14:textFill>
        </w:rPr>
        <w:t>日9:00-</w:t>
      </w:r>
      <w:r>
        <w:rPr>
          <w:rFonts w:hint="eastAsia" w:ascii="宋体" w:hAnsi="宋体" w:cs="微软雅黑"/>
          <w:b/>
          <w:color w:val="000000" w:themeColor="text1"/>
          <w:spacing w:val="-2"/>
          <w:szCs w:val="21"/>
          <w:lang w:val="en-US" w:eastAsia="zh-CN"/>
          <w14:textFill>
            <w14:solidFill>
              <w14:schemeClr w14:val="tx1"/>
            </w14:solidFill>
          </w14:textFill>
        </w:rPr>
        <w:t>4</w:t>
      </w:r>
      <w:r>
        <w:rPr>
          <w:rFonts w:hint="eastAsia" w:ascii="宋体" w:hAnsi="宋体" w:cs="微软雅黑"/>
          <w:b/>
          <w:color w:val="000000" w:themeColor="text1"/>
          <w:spacing w:val="-2"/>
          <w:szCs w:val="21"/>
          <w14:textFill>
            <w14:solidFill>
              <w14:schemeClr w14:val="tx1"/>
            </w14:solidFill>
          </w14:textFill>
        </w:rPr>
        <w:t>月</w:t>
      </w:r>
      <w:r>
        <w:rPr>
          <w:rFonts w:hint="eastAsia" w:ascii="宋体" w:hAnsi="宋体" w:cs="微软雅黑"/>
          <w:b/>
          <w:color w:val="000000" w:themeColor="text1"/>
          <w:spacing w:val="-2"/>
          <w:szCs w:val="21"/>
          <w:lang w:val="en-US" w:eastAsia="zh-CN"/>
          <w14:textFill>
            <w14:solidFill>
              <w14:schemeClr w14:val="tx1"/>
            </w14:solidFill>
          </w14:textFill>
        </w:rPr>
        <w:t>19</w:t>
      </w:r>
      <w:r>
        <w:rPr>
          <w:rFonts w:hint="eastAsia" w:ascii="宋体" w:hAnsi="宋体" w:cs="微软雅黑"/>
          <w:b/>
          <w:color w:val="000000" w:themeColor="text1"/>
          <w:spacing w:val="-2"/>
          <w:szCs w:val="21"/>
          <w14:textFill>
            <w14:solidFill>
              <w14:schemeClr w14:val="tx1"/>
            </w14:solidFill>
          </w14:textFill>
        </w:rPr>
        <w:t>日1</w:t>
      </w:r>
      <w:r>
        <w:rPr>
          <w:rFonts w:hint="eastAsia" w:ascii="宋体" w:hAnsi="宋体" w:cs="微软雅黑"/>
          <w:b/>
          <w:color w:val="000000" w:themeColor="text1"/>
          <w:spacing w:val="-2"/>
          <w:szCs w:val="21"/>
          <w:lang w:val="en-US" w:eastAsia="zh-CN"/>
          <w14:textFill>
            <w14:solidFill>
              <w14:schemeClr w14:val="tx1"/>
            </w14:solidFill>
          </w14:textFill>
        </w:rPr>
        <w:t>7</w:t>
      </w:r>
      <w:r>
        <w:rPr>
          <w:rFonts w:hint="eastAsia" w:ascii="宋体" w:hAnsi="宋体" w:cs="微软雅黑"/>
          <w:b/>
          <w:color w:val="000000" w:themeColor="text1"/>
          <w:spacing w:val="-2"/>
          <w:szCs w:val="21"/>
          <w14:textFill>
            <w14:solidFill>
              <w14:schemeClr w14:val="tx1"/>
            </w14:solidFill>
          </w14:textFill>
        </w:rPr>
        <w:t>:00</w:t>
      </w:r>
      <w:r>
        <w:rPr>
          <w:rFonts w:hint="eastAsia" w:ascii="宋体" w:hAnsi="宋体" w:cs="微软雅黑"/>
          <w:b w:val="0"/>
          <w:bCs/>
          <w:color w:val="000000" w:themeColor="text1"/>
          <w:spacing w:val="-2"/>
          <w:szCs w:val="21"/>
          <w14:textFill>
            <w14:solidFill>
              <w14:schemeClr w14:val="tx1"/>
            </w14:solidFill>
          </w14:textFill>
        </w:rPr>
        <w:t>，竞价人须在上述报名时间有效期内登录厦门市资产资源交易系统（http://120.41.41.16:9101/），进入“报名管理”下的“报名大厅”选择本次竞价项目进行线上报名。</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12" w:firstLineChars="200"/>
        <w:textAlignment w:val="auto"/>
        <w:rPr>
          <w:rFonts w:hint="eastAsia" w:ascii="宋体" w:hAnsi="宋体" w:cs="微软雅黑"/>
          <w:color w:val="000000" w:themeColor="text1"/>
          <w:spacing w:val="-2"/>
          <w:szCs w:val="21"/>
          <w14:textFill>
            <w14:solidFill>
              <w14:schemeClr w14:val="tx1"/>
            </w14:solidFill>
          </w14:textFill>
        </w:rPr>
      </w:pPr>
      <w:r>
        <w:rPr>
          <w:rFonts w:hint="eastAsia" w:ascii="宋体" w:hAnsi="宋体" w:cs="微软雅黑"/>
          <w:color w:val="000000" w:themeColor="text1"/>
          <w:spacing w:val="-2"/>
          <w:szCs w:val="21"/>
          <w:lang w:val="en-US" w:eastAsia="zh-CN"/>
          <w14:textFill>
            <w14:solidFill>
              <w14:schemeClr w14:val="tx1"/>
            </w14:solidFill>
          </w14:textFill>
        </w:rPr>
        <w:t>1.</w:t>
      </w:r>
      <w:r>
        <w:rPr>
          <w:rFonts w:hint="eastAsia" w:ascii="宋体" w:hAnsi="宋体" w:cs="微软雅黑"/>
          <w:b/>
          <w:bCs/>
          <w:color w:val="000000" w:themeColor="text1"/>
          <w:spacing w:val="-2"/>
          <w:szCs w:val="21"/>
          <w14:textFill>
            <w14:solidFill>
              <w14:schemeClr w14:val="tx1"/>
            </w14:solidFill>
          </w14:textFill>
        </w:rPr>
        <w:t>交易系统登录方式</w:t>
      </w:r>
      <w:r>
        <w:rPr>
          <w:rFonts w:hint="eastAsia" w:ascii="宋体" w:hAnsi="宋体" w:cs="微软雅黑"/>
          <w:color w:val="000000" w:themeColor="text1"/>
          <w:spacing w:val="-2"/>
          <w:szCs w:val="21"/>
          <w14:textFill>
            <w14:solidFill>
              <w14:schemeClr w14:val="tx1"/>
            </w14:solidFill>
          </w14:textFill>
        </w:rPr>
        <w:t>：厦门市公共资源交易网（https://zyjy.as.xm.gov.cn/）首页-交易信息-行政事业资产资源交易栏目下方：厦门市资产资源交易系统入口。</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12" w:firstLineChars="200"/>
        <w:textAlignment w:val="auto"/>
        <w:rPr>
          <w:rFonts w:hint="eastAsia" w:ascii="宋体" w:hAnsi="宋体" w:cs="微软雅黑"/>
          <w:color w:val="000000" w:themeColor="text1"/>
          <w:spacing w:val="-2"/>
          <w:szCs w:val="21"/>
          <w14:textFill>
            <w14:solidFill>
              <w14:schemeClr w14:val="tx1"/>
            </w14:solidFill>
          </w14:textFill>
        </w:rPr>
      </w:pPr>
      <w:r>
        <w:rPr>
          <w:rFonts w:hint="eastAsia" w:ascii="宋体" w:hAnsi="宋体" w:cs="微软雅黑"/>
          <w:color w:val="000000" w:themeColor="text1"/>
          <w:spacing w:val="-2"/>
          <w:szCs w:val="21"/>
          <w:lang w:val="en-US" w:eastAsia="zh-CN"/>
          <w14:textFill>
            <w14:solidFill>
              <w14:schemeClr w14:val="tx1"/>
            </w14:solidFill>
          </w14:textFill>
        </w:rPr>
        <w:t>2.</w:t>
      </w:r>
      <w:r>
        <w:rPr>
          <w:rFonts w:hint="eastAsia" w:ascii="宋体" w:hAnsi="宋体" w:cs="微软雅黑"/>
          <w:b/>
          <w:bCs/>
          <w:color w:val="000000" w:themeColor="text1"/>
          <w:spacing w:val="-2"/>
          <w:szCs w:val="21"/>
          <w14:textFill>
            <w14:solidFill>
              <w14:schemeClr w14:val="tx1"/>
            </w14:solidFill>
          </w14:textFill>
        </w:rPr>
        <w:t>竞价人申请报名前3个工作日内须完成企业CA数字证书(介质证书)或个人标识证书(软证书)的办理</w:t>
      </w:r>
      <w:r>
        <w:rPr>
          <w:rFonts w:hint="eastAsia" w:ascii="宋体" w:hAnsi="宋体" w:cs="微软雅黑"/>
          <w:color w:val="000000" w:themeColor="text1"/>
          <w:spacing w:val="-2"/>
          <w:szCs w:val="21"/>
          <w14:textFill>
            <w14:solidFill>
              <w14:schemeClr w14:val="tx1"/>
            </w14:solidFill>
          </w14:textFill>
        </w:rPr>
        <w:t>。使用已持有省统一CA数字证书、福建政府采购专用CA数字证书的竞价人，首次登录须在福建省公共资源交易电子公共服务平台下的“公共资源交易CA互认（投标单位省统一登录）”进行注册，账户注册后，可通过“厦门市资产资源交易系统”登录页面-“省统一登录”进行登录操作，无需另行办理CA数字证书。自然人可通过可信身份认证管理平台(http://ra.jdsafe.com/web/#/index)免费办理个人标识证书，具体操作步骤详见厦门市公共资源交易网（https://zyjy.as.xm.gov.cn/）首页-通知动态-重要通知-“厦门市公共资源交易中心关于厦门市资产资源交易系统上线试运行的通知”附件《个人标识证书申请操作手册》。</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12" w:firstLineChars="200"/>
        <w:textAlignment w:val="auto"/>
        <w:rPr>
          <w:rFonts w:hint="eastAsia" w:ascii="宋体" w:hAnsi="宋体" w:cs="微软雅黑"/>
          <w:color w:val="000000" w:themeColor="text1"/>
          <w:spacing w:val="-2"/>
          <w:szCs w:val="21"/>
          <w14:textFill>
            <w14:solidFill>
              <w14:schemeClr w14:val="tx1"/>
            </w14:solidFill>
          </w14:textFill>
        </w:rPr>
      </w:pPr>
      <w:r>
        <w:rPr>
          <w:rFonts w:hint="eastAsia" w:ascii="宋体" w:hAnsi="宋体" w:cs="微软雅黑"/>
          <w:color w:val="000000" w:themeColor="text1"/>
          <w:spacing w:val="-2"/>
          <w:szCs w:val="21"/>
          <w:lang w:val="en-US" w:eastAsia="zh-CN"/>
          <w14:textFill>
            <w14:solidFill>
              <w14:schemeClr w14:val="tx1"/>
            </w14:solidFill>
          </w14:textFill>
        </w:rPr>
        <w:t>3.</w:t>
      </w:r>
      <w:r>
        <w:rPr>
          <w:rFonts w:hint="eastAsia" w:ascii="宋体" w:hAnsi="宋体" w:cs="微软雅黑"/>
          <w:color w:val="000000" w:themeColor="text1"/>
          <w:spacing w:val="-2"/>
          <w:szCs w:val="21"/>
          <w14:textFill>
            <w14:solidFill>
              <w14:schemeClr w14:val="tx1"/>
            </w14:solidFill>
          </w14:textFill>
        </w:rPr>
        <w:t>竞价人请在报名有效期内登录厦门市资产资源交易系统首页“操作视频”栏，熟悉操作流程。</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12" w:firstLineChars="200"/>
        <w:textAlignment w:val="auto"/>
        <w:rPr>
          <w:rFonts w:hint="eastAsia" w:ascii="宋体" w:hAnsi="宋体" w:cs="微软雅黑"/>
          <w:color w:val="000000" w:themeColor="text1"/>
          <w:spacing w:val="-2"/>
          <w:szCs w:val="21"/>
          <w14:textFill>
            <w14:solidFill>
              <w14:schemeClr w14:val="tx1"/>
            </w14:solidFill>
          </w14:textFill>
        </w:rPr>
      </w:pPr>
      <w:r>
        <w:rPr>
          <w:rFonts w:hint="eastAsia" w:ascii="宋体" w:hAnsi="宋体" w:cs="微软雅黑"/>
          <w:color w:val="000000" w:themeColor="text1"/>
          <w:spacing w:val="-2"/>
          <w:szCs w:val="21"/>
          <w:lang w:val="en-US" w:eastAsia="zh-CN"/>
          <w14:textFill>
            <w14:solidFill>
              <w14:schemeClr w14:val="tx1"/>
            </w14:solidFill>
          </w14:textFill>
        </w:rPr>
        <w:t>4.报名时需准备的材料：</w:t>
      </w:r>
      <w:r>
        <w:rPr>
          <w:rFonts w:hint="eastAsia" w:ascii="宋体" w:hAnsi="宋体" w:cs="微软雅黑"/>
          <w:color w:val="000000" w:themeColor="text1"/>
          <w:spacing w:val="-2"/>
          <w:szCs w:val="21"/>
          <w14:textFill>
            <w14:solidFill>
              <w14:schemeClr w14:val="tx1"/>
            </w14:solidFill>
          </w14:textFill>
        </w:rPr>
        <w:t>单位竞价人须准备营业执照(复印件盖公章)、法人身份证件(复印件本人签字按手印、盖公章)、经办人身份证件(复印件本人签字按手印、盖公章)、授权委托书原件</w:t>
      </w:r>
      <w:r>
        <w:rPr>
          <w:rFonts w:hint="eastAsia" w:ascii="宋体" w:hAnsi="宋体" w:cs="微软雅黑"/>
          <w:color w:val="000000" w:themeColor="text1"/>
          <w:spacing w:val="-2"/>
          <w:szCs w:val="21"/>
          <w:lang w:eastAsia="zh-CN"/>
          <w14:textFill>
            <w14:solidFill>
              <w14:schemeClr w14:val="tx1"/>
            </w14:solidFill>
          </w14:textFill>
        </w:rPr>
        <w:t>（</w:t>
      </w:r>
      <w:r>
        <w:rPr>
          <w:rFonts w:hint="eastAsia" w:ascii="宋体" w:hAnsi="宋体" w:cs="微软雅黑"/>
          <w:color w:val="000000" w:themeColor="text1"/>
          <w:spacing w:val="-2"/>
          <w:szCs w:val="21"/>
          <w:lang w:val="en-US" w:eastAsia="zh-CN"/>
          <w14:textFill>
            <w14:solidFill>
              <w14:schemeClr w14:val="tx1"/>
            </w14:solidFill>
          </w14:textFill>
        </w:rPr>
        <w:t>加盖公章</w:t>
      </w:r>
      <w:r>
        <w:rPr>
          <w:rFonts w:hint="eastAsia" w:ascii="宋体" w:hAnsi="宋体" w:cs="微软雅黑"/>
          <w:color w:val="000000" w:themeColor="text1"/>
          <w:spacing w:val="-2"/>
          <w:szCs w:val="21"/>
          <w:lang w:eastAsia="zh-CN"/>
          <w14:textFill>
            <w14:solidFill>
              <w14:schemeClr w14:val="tx1"/>
            </w14:solidFill>
          </w14:textFill>
        </w:rPr>
        <w:t>）</w:t>
      </w:r>
      <w:r>
        <w:rPr>
          <w:rFonts w:hint="eastAsia" w:ascii="宋体" w:hAnsi="宋体" w:cs="微软雅黑"/>
          <w:color w:val="000000" w:themeColor="text1"/>
          <w:spacing w:val="-2"/>
          <w:szCs w:val="21"/>
          <w14:textFill>
            <w14:solidFill>
              <w14:schemeClr w14:val="tx1"/>
            </w14:solidFill>
          </w14:textFill>
        </w:rPr>
        <w:t>、竞价保证金银行转账凭证（公对公转账）等，上述材料均扫描/拍照后，上传至交易系统；自然人竞价人须准备身份证件(复印件本人签字按手印)、竞价保证金银行转账凭证等，上述材料均扫描/拍照后，上传至交易系统 ；</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12" w:firstLineChars="200"/>
        <w:textAlignment w:val="auto"/>
        <w:rPr>
          <w:rFonts w:hint="eastAsia" w:ascii="宋体" w:hAnsi="宋体" w:cs="微软雅黑"/>
          <w:color w:val="000000" w:themeColor="text1"/>
          <w:spacing w:val="-2"/>
          <w:szCs w:val="21"/>
          <w14:textFill>
            <w14:solidFill>
              <w14:schemeClr w14:val="tx1"/>
            </w14:solidFill>
          </w14:textFill>
        </w:rPr>
      </w:pPr>
      <w:r>
        <w:rPr>
          <w:rFonts w:hint="eastAsia" w:ascii="宋体" w:hAnsi="宋体" w:cs="微软雅黑"/>
          <w:color w:val="000000" w:themeColor="text1"/>
          <w:spacing w:val="-2"/>
          <w:szCs w:val="21"/>
          <w:lang w:val="en-US" w:eastAsia="zh-CN"/>
          <w14:textFill>
            <w14:solidFill>
              <w14:schemeClr w14:val="tx1"/>
            </w14:solidFill>
          </w14:textFill>
        </w:rPr>
        <w:t>5.</w:t>
      </w:r>
      <w:r>
        <w:rPr>
          <w:rFonts w:hint="eastAsia" w:ascii="宋体" w:hAnsi="宋体" w:cs="微软雅黑"/>
          <w:color w:val="000000" w:themeColor="text1"/>
          <w:spacing w:val="-2"/>
          <w:szCs w:val="21"/>
          <w14:textFill>
            <w14:solidFill>
              <w14:schemeClr w14:val="tx1"/>
            </w14:solidFill>
          </w14:textFill>
        </w:rPr>
        <w:t>本协议书及所有附件，包括《</w:t>
      </w:r>
      <w:r>
        <w:rPr>
          <w:rFonts w:hint="eastAsia" w:ascii="宋体" w:hAnsi="宋体" w:cs="微软雅黑"/>
          <w:color w:val="000000" w:themeColor="text1"/>
          <w:spacing w:val="-2"/>
          <w:szCs w:val="21"/>
          <w:lang w:val="en-US" w:eastAsia="zh-CN"/>
          <w14:textFill>
            <w14:solidFill>
              <w14:schemeClr w14:val="tx1"/>
            </w14:solidFill>
          </w14:textFill>
        </w:rPr>
        <w:t>标的</w:t>
      </w:r>
      <w:r>
        <w:rPr>
          <w:rFonts w:hint="eastAsia" w:ascii="宋体" w:hAnsi="宋体" w:cs="微软雅黑"/>
          <w:color w:val="000000" w:themeColor="text1"/>
          <w:spacing w:val="-2"/>
          <w:szCs w:val="21"/>
          <w14:textFill>
            <w14:solidFill>
              <w14:schemeClr w14:val="tx1"/>
            </w14:solidFill>
          </w14:textFill>
        </w:rPr>
        <w:t>清单》、《</w:t>
      </w:r>
      <w:r>
        <w:rPr>
          <w:rFonts w:hint="eastAsia" w:ascii="宋体" w:hAnsi="宋体" w:cs="微软雅黑"/>
          <w:color w:val="000000" w:themeColor="text1"/>
          <w:spacing w:val="-2"/>
          <w:szCs w:val="21"/>
          <w:lang w:val="en-US" w:eastAsia="zh-CN"/>
          <w14:textFill>
            <w14:solidFill>
              <w14:schemeClr w14:val="tx1"/>
            </w14:solidFill>
          </w14:textFill>
        </w:rPr>
        <w:t>合同样稿</w:t>
      </w:r>
      <w:r>
        <w:rPr>
          <w:rFonts w:hint="eastAsia" w:ascii="宋体" w:hAnsi="宋体" w:cs="微软雅黑"/>
          <w:color w:val="000000" w:themeColor="text1"/>
          <w:spacing w:val="-2"/>
          <w:szCs w:val="21"/>
          <w14:textFill>
            <w14:solidFill>
              <w14:schemeClr w14:val="tx1"/>
            </w14:solidFill>
          </w14:textFill>
        </w:rPr>
        <w:t>》、</w:t>
      </w:r>
      <w:r>
        <w:rPr>
          <w:rFonts w:hint="eastAsia" w:ascii="宋体" w:hAnsi="宋体" w:cs="微软雅黑"/>
          <w:color w:val="000000" w:themeColor="text1"/>
          <w:spacing w:val="-2"/>
          <w:szCs w:val="21"/>
          <w:lang w:val="en-US" w:eastAsia="zh-CN"/>
          <w14:textFill>
            <w14:solidFill>
              <w14:schemeClr w14:val="tx1"/>
            </w14:solidFill>
          </w14:textFill>
        </w:rPr>
        <w:t>《现场看样确认书及知情同意书</w:t>
      </w:r>
      <w:r>
        <w:rPr>
          <w:rFonts w:hint="eastAsia" w:ascii="宋体" w:hAnsi="宋体" w:cs="微软雅黑"/>
          <w:color w:val="000000" w:themeColor="text1"/>
          <w:spacing w:val="-2"/>
          <w:szCs w:val="21"/>
          <w14:textFill>
            <w14:solidFill>
              <w14:schemeClr w14:val="tx1"/>
            </w14:solidFill>
          </w14:textFill>
        </w:rPr>
        <w:t>》</w:t>
      </w:r>
      <w:r>
        <w:rPr>
          <w:rFonts w:hint="eastAsia" w:ascii="宋体" w:hAnsi="宋体" w:cs="微软雅黑"/>
          <w:color w:val="000000" w:themeColor="text1"/>
          <w:spacing w:val="-2"/>
          <w:szCs w:val="21"/>
          <w:lang w:val="en-US" w:eastAsia="zh-CN"/>
          <w14:textFill>
            <w14:solidFill>
              <w14:schemeClr w14:val="tx1"/>
            </w14:solidFill>
          </w14:textFill>
        </w:rPr>
        <w:t>等</w:t>
      </w:r>
      <w:r>
        <w:rPr>
          <w:rFonts w:hint="eastAsia" w:ascii="宋体" w:hAnsi="宋体" w:cs="微软雅黑"/>
          <w:color w:val="000000" w:themeColor="text1"/>
          <w:spacing w:val="-2"/>
          <w:szCs w:val="21"/>
          <w14:textFill>
            <w14:solidFill>
              <w14:schemeClr w14:val="tx1"/>
            </w14:solidFill>
          </w14:textFill>
        </w:rPr>
        <w:t>竞价人应按照要求填写和提供。并在申请报名时一并提交。不能通过电子签章实现的，必须另行提交签字(按手印)/盖章确认过的对应附件扫描件或清晰照片以供审核。</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12" w:firstLineChars="200"/>
        <w:textAlignment w:val="auto"/>
        <w:rPr>
          <w:rFonts w:hint="eastAsia" w:ascii="宋体" w:hAnsi="宋体" w:cs="微软雅黑"/>
          <w:color w:val="000000" w:themeColor="text1"/>
          <w:spacing w:val="-2"/>
          <w:szCs w:val="21"/>
          <w14:textFill>
            <w14:solidFill>
              <w14:schemeClr w14:val="tx1"/>
            </w14:solidFill>
          </w14:textFill>
        </w:rPr>
      </w:pPr>
      <w:r>
        <w:rPr>
          <w:rFonts w:hint="eastAsia" w:ascii="宋体" w:hAnsi="宋体" w:cs="微软雅黑"/>
          <w:color w:val="000000" w:themeColor="text1"/>
          <w:spacing w:val="-2"/>
          <w:szCs w:val="21"/>
          <w:lang w:val="en-US" w:eastAsia="zh-CN"/>
          <w14:textFill>
            <w14:solidFill>
              <w14:schemeClr w14:val="tx1"/>
            </w14:solidFill>
          </w14:textFill>
        </w:rPr>
        <w:t>6.</w:t>
      </w:r>
      <w:r>
        <w:rPr>
          <w:rFonts w:hint="eastAsia" w:ascii="宋体" w:hAnsi="宋体" w:cs="微软雅黑"/>
          <w:color w:val="000000" w:themeColor="text1"/>
          <w:spacing w:val="-2"/>
          <w:szCs w:val="21"/>
          <w14:textFill>
            <w14:solidFill>
              <w14:schemeClr w14:val="tx1"/>
            </w14:solidFill>
          </w14:textFill>
        </w:rPr>
        <w:t>享有优先承租权的权利人，还须在申请报名时提交《租赁合同》或者其他证明文件，报名参加《租赁合同》或者其他证明文件所指标的承租权的竞价，并经委托人确认后，方可取得优先承租权。</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12" w:firstLineChars="200"/>
        <w:textAlignment w:val="auto"/>
        <w:rPr>
          <w:rFonts w:hint="eastAsia" w:ascii="宋体" w:hAnsi="宋体" w:cs="微软雅黑"/>
          <w:color w:val="000000" w:themeColor="text1"/>
          <w:spacing w:val="-2"/>
          <w:szCs w:val="21"/>
          <w14:textFill>
            <w14:solidFill>
              <w14:schemeClr w14:val="tx1"/>
            </w14:solidFill>
          </w14:textFill>
        </w:rPr>
      </w:pPr>
      <w:r>
        <w:rPr>
          <w:rFonts w:hint="eastAsia" w:ascii="宋体" w:hAnsi="宋体" w:cs="微软雅黑"/>
          <w:color w:val="000000" w:themeColor="text1"/>
          <w:spacing w:val="-2"/>
          <w:szCs w:val="21"/>
          <w:lang w:val="en-US" w:eastAsia="zh-CN"/>
          <w14:textFill>
            <w14:solidFill>
              <w14:schemeClr w14:val="tx1"/>
            </w14:solidFill>
          </w14:textFill>
        </w:rPr>
        <w:t>7.</w:t>
      </w:r>
      <w:r>
        <w:rPr>
          <w:rFonts w:hint="eastAsia" w:ascii="宋体" w:hAnsi="宋体" w:cs="微软雅黑"/>
          <w:color w:val="000000" w:themeColor="text1"/>
          <w:spacing w:val="-2"/>
          <w:szCs w:val="21"/>
          <w14:textFill>
            <w14:solidFill>
              <w14:schemeClr w14:val="tx1"/>
            </w14:solidFill>
          </w14:textFill>
        </w:rPr>
        <w:t>根据相关规则要求，所有竞价人的竞价资料须经审核通过后，方可取得竞价资格。意向竞价人应在报名有效期内提供(包含但不仅限于补充材料、更正材料)真实资料，因意向竞价人提供不实资料、进行虚假陈述、隐瞒事实真相、超期提交/补充/更正材料所造成的一切后果，应自行承担相应的法律责任及后果。</w:t>
      </w:r>
    </w:p>
    <w:p>
      <w:pPr>
        <w:autoSpaceDE w:val="0"/>
        <w:autoSpaceDN w:val="0"/>
        <w:adjustRightInd w:val="0"/>
        <w:snapToGrid w:val="0"/>
        <w:spacing w:line="360" w:lineRule="exact"/>
        <w:rPr>
          <w:rFonts w:hint="eastAsia" w:ascii="宋体" w:hAnsi="宋体" w:cs="微软雅黑"/>
          <w:b/>
          <w:bCs/>
          <w:color w:val="000000" w:themeColor="text1"/>
          <w:spacing w:val="-2"/>
          <w:szCs w:val="21"/>
          <w14:textFill>
            <w14:solidFill>
              <w14:schemeClr w14:val="tx1"/>
            </w14:solidFill>
          </w14:textFill>
        </w:rPr>
      </w:pPr>
      <w:r>
        <w:rPr>
          <w:rFonts w:hint="eastAsia" w:ascii="宋体" w:hAnsi="宋体" w:cs="微软雅黑"/>
          <w:b/>
          <w:bCs/>
          <w:color w:val="000000" w:themeColor="text1"/>
          <w:spacing w:val="-2"/>
          <w:szCs w:val="21"/>
          <w14:textFill>
            <w14:solidFill>
              <w14:schemeClr w14:val="tx1"/>
            </w14:solidFill>
          </w14:textFill>
        </w:rPr>
        <w:t>现场咨询：</w:t>
      </w:r>
    </w:p>
    <w:p>
      <w:pPr>
        <w:keepNext w:val="0"/>
        <w:keepLines w:val="0"/>
        <w:pageBreakBefore w:val="0"/>
        <w:widowControl w:val="0"/>
        <w:kinsoku/>
        <w:wordWrap/>
        <w:overflowPunct/>
        <w:topLinePunct w:val="0"/>
        <w:autoSpaceDE w:val="0"/>
        <w:autoSpaceDN w:val="0"/>
        <w:bidi w:val="0"/>
        <w:adjustRightInd w:val="0"/>
        <w:snapToGrid w:val="0"/>
        <w:spacing w:line="360" w:lineRule="exact"/>
        <w:ind w:firstLine="412" w:firstLineChars="200"/>
        <w:textAlignment w:val="auto"/>
        <w:rPr>
          <w:rFonts w:hint="default" w:ascii="宋体" w:hAnsi="宋体" w:eastAsia="宋体" w:cs="微软雅黑"/>
          <w:b w:val="0"/>
          <w:bCs w:val="0"/>
          <w:color w:val="000000" w:themeColor="text1"/>
          <w:spacing w:val="-2"/>
          <w:kern w:val="2"/>
          <w:sz w:val="21"/>
          <w:szCs w:val="21"/>
          <w:lang w:val="en-US" w:eastAsia="zh-CN" w:bidi="ar-SA"/>
          <w14:textFill>
            <w14:solidFill>
              <w14:schemeClr w14:val="tx1"/>
            </w14:solidFill>
          </w14:textFill>
        </w:rPr>
      </w:pPr>
      <w:r>
        <w:rPr>
          <w:rFonts w:hint="eastAsia" w:ascii="宋体" w:hAnsi="宋体" w:cs="微软雅黑"/>
          <w:color w:val="000000" w:themeColor="text1"/>
          <w:spacing w:val="-2"/>
          <w:szCs w:val="21"/>
          <w:u w:val="single"/>
          <w14:textFill>
            <w14:solidFill>
              <w14:schemeClr w14:val="tx1"/>
            </w14:solidFill>
          </w14:textFill>
        </w:rPr>
        <w:t>甲方将</w:t>
      </w:r>
      <w:r>
        <w:rPr>
          <w:rFonts w:hint="eastAsia" w:ascii="宋体" w:hAnsi="宋体" w:cs="微软雅黑"/>
          <w:b/>
          <w:bCs/>
          <w:color w:val="000000" w:themeColor="text1"/>
          <w:spacing w:val="-2"/>
          <w:szCs w:val="21"/>
          <w:u w:val="single"/>
          <w14:textFill>
            <w14:solidFill>
              <w14:schemeClr w14:val="tx1"/>
            </w14:solidFill>
          </w14:textFill>
        </w:rPr>
        <w:t>于2024年</w:t>
      </w:r>
      <w:r>
        <w:rPr>
          <w:rFonts w:hint="eastAsia" w:ascii="宋体" w:hAnsi="宋体" w:cs="微软雅黑"/>
          <w:b/>
          <w:bCs/>
          <w:color w:val="000000" w:themeColor="text1"/>
          <w:spacing w:val="-2"/>
          <w:szCs w:val="21"/>
          <w:u w:val="single"/>
          <w:lang w:val="en-US" w:eastAsia="zh-CN"/>
          <w14:textFill>
            <w14:solidFill>
              <w14:schemeClr w14:val="tx1"/>
            </w14:solidFill>
          </w14:textFill>
        </w:rPr>
        <w:t>4</w:t>
      </w:r>
      <w:r>
        <w:rPr>
          <w:rFonts w:hint="eastAsia" w:ascii="宋体" w:hAnsi="宋体" w:cs="微软雅黑"/>
          <w:b/>
          <w:bCs/>
          <w:color w:val="000000" w:themeColor="text1"/>
          <w:spacing w:val="-2"/>
          <w:szCs w:val="21"/>
          <w:u w:val="single"/>
          <w14:textFill>
            <w14:solidFill>
              <w14:schemeClr w14:val="tx1"/>
            </w14:solidFill>
          </w14:textFill>
        </w:rPr>
        <w:t>月</w:t>
      </w:r>
      <w:r>
        <w:rPr>
          <w:rFonts w:hint="eastAsia" w:ascii="宋体" w:hAnsi="宋体" w:cs="微软雅黑"/>
          <w:b/>
          <w:bCs/>
          <w:color w:val="000000" w:themeColor="text1"/>
          <w:spacing w:val="-2"/>
          <w:szCs w:val="21"/>
          <w:u w:val="single"/>
          <w:lang w:val="en-US" w:eastAsia="zh-CN"/>
          <w14:textFill>
            <w14:solidFill>
              <w14:schemeClr w14:val="tx1"/>
            </w14:solidFill>
          </w14:textFill>
        </w:rPr>
        <w:t>15</w:t>
      </w:r>
      <w:r>
        <w:rPr>
          <w:rFonts w:hint="eastAsia" w:ascii="宋体" w:hAnsi="宋体" w:cs="微软雅黑"/>
          <w:b/>
          <w:bCs/>
          <w:color w:val="000000" w:themeColor="text1"/>
          <w:spacing w:val="-2"/>
          <w:szCs w:val="21"/>
          <w:u w:val="single"/>
          <w14:textFill>
            <w14:solidFill>
              <w14:schemeClr w14:val="tx1"/>
            </w14:solidFill>
          </w14:textFill>
        </w:rPr>
        <w:t>日</w:t>
      </w:r>
      <w:r>
        <w:rPr>
          <w:rFonts w:hint="eastAsia" w:ascii="宋体" w:hAnsi="宋体" w:cs="微软雅黑"/>
          <w:color w:val="000000" w:themeColor="text1"/>
          <w:spacing w:val="-2"/>
          <w:szCs w:val="21"/>
          <w:u w:val="single"/>
          <w14:textFill>
            <w14:solidFill>
              <w14:schemeClr w14:val="tx1"/>
            </w14:solidFill>
          </w14:textFill>
        </w:rPr>
        <w:t>9:00-1</w:t>
      </w:r>
      <w:r>
        <w:rPr>
          <w:rFonts w:hint="eastAsia" w:ascii="宋体" w:hAnsi="宋体" w:cs="微软雅黑"/>
          <w:color w:val="000000" w:themeColor="text1"/>
          <w:spacing w:val="-2"/>
          <w:szCs w:val="21"/>
          <w:u w:val="single"/>
          <w:lang w:val="en-US" w:eastAsia="zh-CN"/>
          <w14:textFill>
            <w14:solidFill>
              <w14:schemeClr w14:val="tx1"/>
            </w14:solidFill>
          </w14:textFill>
        </w:rPr>
        <w:t>1</w:t>
      </w:r>
      <w:r>
        <w:rPr>
          <w:rFonts w:hint="eastAsia" w:ascii="宋体" w:hAnsi="宋体" w:cs="微软雅黑"/>
          <w:color w:val="000000" w:themeColor="text1"/>
          <w:spacing w:val="-2"/>
          <w:szCs w:val="21"/>
          <w:u w:val="single"/>
          <w14:textFill>
            <w14:solidFill>
              <w14:schemeClr w14:val="tx1"/>
            </w14:solidFill>
          </w14:textFill>
        </w:rPr>
        <w:t>:0</w:t>
      </w:r>
      <w:r>
        <w:rPr>
          <w:rFonts w:hint="eastAsia" w:ascii="宋体" w:hAnsi="宋体" w:cs="微软雅黑"/>
          <w:color w:val="000000" w:themeColor="text1"/>
          <w:spacing w:val="-2"/>
          <w:szCs w:val="21"/>
          <w:u w:val="single"/>
          <w:lang w:val="en-US" w:eastAsia="zh-CN"/>
          <w14:textFill>
            <w14:solidFill>
              <w14:schemeClr w14:val="tx1"/>
            </w14:solidFill>
          </w14:textFill>
        </w:rPr>
        <w:t>0</w:t>
      </w:r>
      <w:r>
        <w:rPr>
          <w:rFonts w:hint="eastAsia" w:ascii="宋体" w:hAnsi="宋体" w:cs="微软雅黑"/>
          <w:color w:val="000000" w:themeColor="text1"/>
          <w:spacing w:val="-2"/>
          <w:szCs w:val="21"/>
          <w:u w:val="single"/>
          <w14:textFill>
            <w14:solidFill>
              <w14:schemeClr w14:val="tx1"/>
            </w14:solidFill>
          </w14:textFill>
        </w:rPr>
        <w:t>在云顶北路842号市政务服务中心四楼信息发布大厅</w:t>
      </w:r>
      <w:r>
        <w:rPr>
          <w:rFonts w:hint="eastAsia" w:ascii="宋体" w:hAnsi="宋体" w:cs="微软雅黑"/>
          <w:b/>
          <w:bCs/>
          <w:color w:val="000000" w:themeColor="text1"/>
          <w:spacing w:val="-2"/>
          <w:szCs w:val="21"/>
          <w:u w:val="single"/>
          <w:lang w:val="en-US" w:eastAsia="zh-CN"/>
          <w14:textFill>
            <w14:solidFill>
              <w14:schemeClr w14:val="tx1"/>
            </w14:solidFill>
          </w14:textFill>
        </w:rPr>
        <w:t>20</w:t>
      </w:r>
      <w:r>
        <w:rPr>
          <w:rFonts w:hint="eastAsia" w:ascii="宋体" w:hAnsi="宋体" w:cs="微软雅黑"/>
          <w:color w:val="000000" w:themeColor="text1"/>
          <w:spacing w:val="-2"/>
          <w:szCs w:val="21"/>
          <w:u w:val="single"/>
          <w14:textFill>
            <w14:solidFill>
              <w14:schemeClr w14:val="tx1"/>
            </w14:solidFill>
          </w14:textFill>
        </w:rPr>
        <w:t>号窗口接受乙方现场咨询，乙方如须咨询，请在前述时间内前往窗口咨询，逾期不候。</w:t>
      </w:r>
      <w:r>
        <w:rPr>
          <w:rFonts w:hint="eastAsia" w:ascii="宋体" w:hAnsi="宋体" w:cs="微软雅黑"/>
          <w:color w:val="000000" w:themeColor="text1"/>
          <w:spacing w:val="-2"/>
          <w:szCs w:val="21"/>
          <w:u w:val="single"/>
          <w:lang w:val="en-US" w:eastAsia="zh-CN"/>
          <w14:textFill>
            <w14:solidFill>
              <w14:schemeClr w14:val="tx1"/>
            </w14:solidFill>
          </w14:textFill>
        </w:rPr>
        <w:t>咨询电话：0592-2287900</w:t>
      </w:r>
    </w:p>
    <w:p>
      <w:p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五、竞价保证金</w:t>
      </w:r>
    </w:p>
    <w:p>
      <w:pPr>
        <w:autoSpaceDE w:val="0"/>
        <w:autoSpaceDN w:val="0"/>
        <w:adjustRightInd w:val="0"/>
        <w:snapToGrid w:val="0"/>
        <w:spacing w:line="360" w:lineRule="exact"/>
        <w:ind w:firstLine="420" w:firstLineChars="200"/>
        <w:rPr>
          <w:rFonts w:hint="eastAsia" w:ascii="宋体" w:hAnsi="宋体"/>
          <w:color w:val="000000" w:themeColor="text1"/>
          <w:kern w:val="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1、乙方参加标的竞价应交纳标的相应的竞价保证金。</w:t>
      </w:r>
      <w:r>
        <w:rPr>
          <w:rFonts w:hint="eastAsia" w:ascii="宋体" w:hAnsi="宋体"/>
          <w:color w:val="000000" w:themeColor="text1"/>
          <w:kern w:val="0"/>
          <w:szCs w:val="21"/>
          <w14:textFill>
            <w14:solidFill>
              <w14:schemeClr w14:val="tx1"/>
            </w14:solidFill>
          </w14:textFill>
        </w:rPr>
        <w:t>有意竞得多个意向标的的竞价人应当缴纳对应每个标的的竞价保证金。</w:t>
      </w:r>
    </w:p>
    <w:p>
      <w:pPr>
        <w:autoSpaceDE w:val="0"/>
        <w:autoSpaceDN w:val="0"/>
        <w:adjustRightInd w:val="0"/>
        <w:snapToGrid w:val="0"/>
        <w:spacing w:line="360" w:lineRule="exact"/>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14:textFill>
            <w14:solidFill>
              <w14:schemeClr w14:val="tx1"/>
            </w14:solidFill>
          </w14:textFill>
        </w:rPr>
        <w:t>竞价保证金应在</w:t>
      </w:r>
      <w:r>
        <w:rPr>
          <w:rFonts w:hint="eastAsia" w:ascii="宋体" w:hAnsi="宋体" w:cs="微软雅黑"/>
          <w:b/>
          <w:bCs/>
          <w:color w:val="000000" w:themeColor="text1"/>
          <w:spacing w:val="-2"/>
          <w:szCs w:val="21"/>
          <w:highlight w:val="none"/>
          <w:lang w:val="en-US" w:eastAsia="zh-CN"/>
          <w14:textFill>
            <w14:solidFill>
              <w14:schemeClr w14:val="tx1"/>
            </w14:solidFill>
          </w14:textFill>
        </w:rPr>
        <w:t>2024</w:t>
      </w:r>
      <w:r>
        <w:rPr>
          <w:rFonts w:hint="eastAsia" w:ascii="宋体" w:hAnsi="宋体" w:cs="微软雅黑"/>
          <w:b/>
          <w:bCs/>
          <w:color w:val="000000" w:themeColor="text1"/>
          <w:spacing w:val="-2"/>
          <w:szCs w:val="21"/>
          <w:highlight w:val="none"/>
          <w14:textFill>
            <w14:solidFill>
              <w14:schemeClr w14:val="tx1"/>
            </w14:solidFill>
          </w14:textFill>
        </w:rPr>
        <w:t>年</w:t>
      </w:r>
      <w:r>
        <w:rPr>
          <w:rFonts w:hint="eastAsia" w:ascii="宋体" w:hAnsi="宋体" w:cs="微软雅黑"/>
          <w:b/>
          <w:bCs/>
          <w:color w:val="000000" w:themeColor="text1"/>
          <w:spacing w:val="-2"/>
          <w:szCs w:val="21"/>
          <w:highlight w:val="none"/>
          <w:lang w:val="en-US" w:eastAsia="zh-CN"/>
          <w14:textFill>
            <w14:solidFill>
              <w14:schemeClr w14:val="tx1"/>
            </w14:solidFill>
          </w14:textFill>
        </w:rPr>
        <w:t>4</w:t>
      </w:r>
      <w:r>
        <w:rPr>
          <w:rFonts w:hint="eastAsia" w:ascii="宋体" w:hAnsi="宋体" w:cs="微软雅黑"/>
          <w:b/>
          <w:bCs/>
          <w:color w:val="000000" w:themeColor="text1"/>
          <w:spacing w:val="-2"/>
          <w:szCs w:val="21"/>
          <w:highlight w:val="none"/>
          <w14:textFill>
            <w14:solidFill>
              <w14:schemeClr w14:val="tx1"/>
            </w14:solidFill>
          </w14:textFill>
        </w:rPr>
        <w:t>月</w:t>
      </w:r>
      <w:r>
        <w:rPr>
          <w:rFonts w:hint="eastAsia" w:ascii="宋体" w:hAnsi="宋体" w:cs="微软雅黑"/>
          <w:b/>
          <w:bCs/>
          <w:color w:val="000000" w:themeColor="text1"/>
          <w:spacing w:val="-2"/>
          <w:szCs w:val="21"/>
          <w:highlight w:val="none"/>
          <w:lang w:val="en-US" w:eastAsia="zh-CN"/>
          <w14:textFill>
            <w14:solidFill>
              <w14:schemeClr w14:val="tx1"/>
            </w14:solidFill>
          </w14:textFill>
        </w:rPr>
        <w:t>19</w:t>
      </w:r>
      <w:r>
        <w:rPr>
          <w:rFonts w:hint="eastAsia" w:ascii="宋体" w:hAnsi="宋体" w:cs="微软雅黑"/>
          <w:b/>
          <w:bCs/>
          <w:color w:val="000000" w:themeColor="text1"/>
          <w:spacing w:val="-2"/>
          <w:szCs w:val="21"/>
          <w:highlight w:val="none"/>
          <w14:textFill>
            <w14:solidFill>
              <w14:schemeClr w14:val="tx1"/>
            </w14:solidFill>
          </w14:textFill>
        </w:rPr>
        <w:t>日</w:t>
      </w:r>
      <w:r>
        <w:rPr>
          <w:rFonts w:hint="eastAsia" w:ascii="宋体" w:hAnsi="宋体"/>
          <w:b/>
          <w:bCs/>
          <w:color w:val="000000" w:themeColor="text1"/>
          <w:szCs w:val="21"/>
          <w:highlight w:val="none"/>
          <w:lang w:val="en-US" w:eastAsia="zh-CN"/>
          <w14:textFill>
            <w14:solidFill>
              <w14:schemeClr w14:val="tx1"/>
            </w14:solidFill>
          </w14:textFill>
        </w:rPr>
        <w:t>16</w:t>
      </w:r>
      <w:r>
        <w:rPr>
          <w:rFonts w:ascii="宋体" w:hAnsi="宋体"/>
          <w:b/>
          <w:bCs/>
          <w:color w:val="000000" w:themeColor="text1"/>
          <w:szCs w:val="21"/>
          <w:highlight w:val="none"/>
          <w14:textFill>
            <w14:solidFill>
              <w14:schemeClr w14:val="tx1"/>
            </w14:solidFill>
          </w14:textFill>
        </w:rPr>
        <w:t>:30</w:t>
      </w:r>
      <w:r>
        <w:rPr>
          <w:rFonts w:hint="eastAsia" w:ascii="宋体" w:hAnsi="宋体"/>
          <w:color w:val="000000" w:themeColor="text1"/>
          <w:szCs w:val="21"/>
          <w:highlight w:val="none"/>
          <w14:textFill>
            <w14:solidFill>
              <w14:schemeClr w14:val="tx1"/>
            </w14:solidFill>
          </w14:textFill>
        </w:rPr>
        <w:t>时前汇至甲方指定账户，竞价保证金以到账为准。</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乙方成功竞得标的后，已缴纳的竞价保证金转为履约保证金；若乙方缴纳多份保证金的，乙方承诺已缴纳的全部保证金均按照前款规定执行；留存至甲方的履约保证金，待乙方与委托人签订《房屋租赁合同》并支付甲方竞价佣金后退还至乙方预留银行账户，竞价佣金甲方有权从留存至甲方的履约保证金中扣划。</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3、如乙方未能竞得标的，竞价保证金在成交结果公示7个工作日无异议后的5个工作日内全额无息退还至乙方预留银行账户。</w:t>
      </w:r>
    </w:p>
    <w:p>
      <w:pPr>
        <w:autoSpaceDE w:val="0"/>
        <w:autoSpaceDN w:val="0"/>
        <w:adjustRightInd w:val="0"/>
        <w:snapToGrid w:val="0"/>
        <w:spacing w:line="360" w:lineRule="exact"/>
        <w:ind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4、如乙方未通过委托人的资格审核，竞价保证金在资格审查结束之日起</w:t>
      </w: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个工作日内全额无息退还至乙方预留银行账户。</w:t>
      </w:r>
    </w:p>
    <w:p>
      <w:p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六、竞价操作</w:t>
      </w:r>
    </w:p>
    <w:p>
      <w:pPr>
        <w:autoSpaceDE w:val="0"/>
        <w:autoSpaceDN w:val="0"/>
        <w:adjustRightInd w:val="0"/>
        <w:snapToGrid w:val="0"/>
        <w:spacing w:line="360" w:lineRule="exact"/>
        <w:ind w:firstLine="420" w:firstLineChars="200"/>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1、</w:t>
      </w:r>
      <w:r>
        <w:rPr>
          <w:rFonts w:hint="eastAsia" w:ascii="宋体" w:hAnsi="宋体"/>
          <w:color w:val="000000" w:themeColor="text1"/>
          <w:szCs w:val="21"/>
          <w:lang w:val="en-US" w:eastAsia="zh-CN"/>
          <w14:textFill>
            <w14:solidFill>
              <w14:schemeClr w14:val="tx1"/>
            </w14:solidFill>
          </w14:textFill>
        </w:rPr>
        <w:t>竞价人须对自己申请的证书安全负责，应自行保管好CA数字证书或个人标识证书，任何使用竞价人证书登录交易系统的用户，在交易系统中的一切行为均视为该竞价人本人的行为，由竞价人自行负责。</w:t>
      </w:r>
    </w:p>
    <w:p>
      <w:pPr>
        <w:autoSpaceDE w:val="0"/>
        <w:autoSpaceDN w:val="0"/>
        <w:adjustRightInd w:val="0"/>
        <w:snapToGrid w:val="0"/>
        <w:spacing w:line="360" w:lineRule="exact"/>
        <w:ind w:firstLine="420" w:firstLineChars="200"/>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CA数字证书或个人标识证书只是登陆系统的首要条件，是否具有相关标的竞价资格须待审查确认。竞价人应及时关注交易系统审核情况，资格审查提示须补充上传提交材料或更正材料的，应在报名有效期内及时扫描/拍照后，上传至交易系统，否则影响资格审查结果。报名有效期内未及时上传提交补充材料或更正材料至交易系统的，则资格审查不通过。</w:t>
      </w:r>
    </w:p>
    <w:p>
      <w:pPr>
        <w:autoSpaceDE w:val="0"/>
        <w:autoSpaceDN w:val="0"/>
        <w:adjustRightInd w:val="0"/>
        <w:snapToGrid w:val="0"/>
        <w:spacing w:line="360" w:lineRule="exact"/>
        <w:ind w:firstLine="420" w:firstLineChars="200"/>
        <w:rPr>
          <w:rFonts w:hint="eastAsia" w:ascii="宋体" w:hAnsi="宋体"/>
          <w:color w:val="000000" w:themeColor="text1"/>
          <w:szCs w:val="21"/>
          <w:lang w:val="en-US" w:eastAsia="zh-CN"/>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竞价人资格审核通过后，安装并打开助盾安全客户端，用竞价人申请的CA数字证书或个人标识证书登录后请使用主流浏览器（谷歌浏览器、360浏览器、Microsoft Edge、火狐浏览器）输入资产资源交易系统(http://120.41.41.16:9101)，打开网页后，点击“CA证书登录”登陆系统，按照竞买人操作手册进行相关操作。</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2、竞价人应提前</w:t>
      </w:r>
      <w:r>
        <w:rPr>
          <w:rFonts w:hint="eastAsia" w:ascii="宋体" w:hAnsi="宋体"/>
          <w:color w:val="000000" w:themeColor="text1"/>
          <w:szCs w:val="21"/>
          <w:lang w:val="en-US" w:eastAsia="zh-CN"/>
          <w14:textFill>
            <w14:solidFill>
              <w14:schemeClr w14:val="tx1"/>
            </w14:solidFill>
          </w14:textFill>
        </w:rPr>
        <w:t>观看竞价操作视频</w:t>
      </w:r>
      <w:r>
        <w:rPr>
          <w:rFonts w:hint="eastAsia" w:ascii="宋体" w:hAnsi="宋体"/>
          <w:color w:val="000000" w:themeColor="text1"/>
          <w:szCs w:val="21"/>
          <w14:textFill>
            <w14:solidFill>
              <w14:schemeClr w14:val="tx1"/>
            </w14:solidFill>
          </w14:textFill>
        </w:rPr>
        <w:t>熟悉</w:t>
      </w:r>
      <w:r>
        <w:rPr>
          <w:rFonts w:hint="eastAsia" w:ascii="宋体" w:hAnsi="宋体"/>
          <w:color w:val="000000" w:themeColor="text1"/>
          <w:szCs w:val="21"/>
          <w:lang w:val="en-US" w:eastAsia="zh-CN"/>
          <w14:textFill>
            <w14:solidFill>
              <w14:schemeClr w14:val="tx1"/>
            </w14:solidFill>
          </w14:textFill>
        </w:rPr>
        <w:t>页面</w:t>
      </w:r>
      <w:r>
        <w:rPr>
          <w:rFonts w:hint="eastAsia" w:ascii="宋体" w:hAnsi="宋体"/>
          <w:color w:val="000000" w:themeColor="text1"/>
          <w:szCs w:val="21"/>
          <w14:textFill>
            <w14:solidFill>
              <w14:schemeClr w14:val="tx1"/>
            </w14:solidFill>
          </w14:textFill>
        </w:rPr>
        <w:t>，并在厦门市公共资源交易网发布的《配置信息公告》载明的竞价会开始时间前20分钟登录系统等待竞价开始。竞价会开始时间如有更改，请详见厦门市公共资源交易网发布的《更正公告》。竞价人应尽量采用高带宽、高性能、安全的网络环境。鉴于互联网环境可能存在的延时等不可抗因素，竞价人应尽量在自由报价期内充分出价，在限时竞价期内及时出价。</w:t>
      </w:r>
    </w:p>
    <w:p>
      <w:pPr>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3、本次竞价采用网络电子竞价方式进行，竞价的起止时间以电子竞价系统的服务器时间为准。请竞价人根据竞买人操作手册了解并熟知该场竞价会的相关流程。</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1）竞价顺序</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本次竞价</w:t>
      </w:r>
      <w:r>
        <w:rPr>
          <w:rFonts w:hint="eastAsia" w:ascii="宋体" w:hAnsi="宋体"/>
          <w:b/>
          <w:color w:val="000000" w:themeColor="text1"/>
          <w:szCs w:val="21"/>
          <w14:textFill>
            <w14:solidFill>
              <w14:schemeClr w14:val="tx1"/>
            </w14:solidFill>
          </w14:textFill>
        </w:rPr>
        <w:t>共为</w:t>
      </w:r>
      <w:r>
        <w:rPr>
          <w:rFonts w:hint="eastAsia" w:ascii="宋体" w:hAnsi="宋体"/>
          <w:b/>
          <w:color w:val="000000" w:themeColor="text1"/>
          <w:szCs w:val="21"/>
          <w:highlight w:val="none"/>
          <w:lang w:val="en-US" w:eastAsia="zh-CN"/>
          <w14:textFill>
            <w14:solidFill>
              <w14:schemeClr w14:val="tx1"/>
            </w14:solidFill>
          </w14:textFill>
        </w:rPr>
        <w:t>2</w:t>
      </w:r>
      <w:r>
        <w:rPr>
          <w:rFonts w:hint="eastAsia" w:ascii="宋体" w:hAnsi="宋体"/>
          <w:b/>
          <w:color w:val="000000" w:themeColor="text1"/>
          <w:szCs w:val="21"/>
          <w14:textFill>
            <w14:solidFill>
              <w14:schemeClr w14:val="tx1"/>
            </w14:solidFill>
          </w14:textFill>
        </w:rPr>
        <w:t>个标的</w:t>
      </w:r>
      <w:r>
        <w:rPr>
          <w:rFonts w:hint="eastAsia" w:ascii="宋体" w:hAnsi="宋体"/>
          <w:color w:val="000000" w:themeColor="text1"/>
          <w:szCs w:val="21"/>
          <w14:textFill>
            <w14:solidFill>
              <w14:schemeClr w14:val="tx1"/>
            </w14:solidFill>
          </w14:textFill>
        </w:rPr>
        <w:t>，详见《</w:t>
      </w:r>
      <w:r>
        <w:rPr>
          <w:rFonts w:hint="eastAsia" w:ascii="宋体" w:hAnsi="宋体"/>
          <w:color w:val="000000" w:themeColor="text1"/>
          <w:szCs w:val="21"/>
          <w:lang w:val="en-US" w:eastAsia="zh-CN"/>
          <w14:textFill>
            <w14:solidFill>
              <w14:schemeClr w14:val="tx1"/>
            </w14:solidFill>
          </w14:textFill>
        </w:rPr>
        <w:t>竞价</w:t>
      </w:r>
      <w:r>
        <w:rPr>
          <w:rFonts w:hint="eastAsia" w:ascii="宋体" w:hAnsi="宋体"/>
          <w:color w:val="000000" w:themeColor="text1"/>
          <w:szCs w:val="21"/>
          <w14:textFill>
            <w14:solidFill>
              <w14:schemeClr w14:val="tx1"/>
            </w14:solidFill>
          </w14:textFill>
        </w:rPr>
        <w:t>清单》，甲方将在《信息公告》发布前设置好所有委托标的的竞价开始时间、延时报价开始时间，所有标的将按设置好的时间进入报价阶段。各个标的竞价时间为自由报价期加上延时报价开始时间。</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2）报价时间</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本次竞价各个标的自由报价期开始时间以电子竞价系统的服务器时间为准。</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各标的竞价由自由报价期</w:t>
      </w:r>
      <w:r>
        <w:rPr>
          <w:rFonts w:hint="eastAsia" w:ascii="宋体" w:hAnsi="宋体"/>
          <w:color w:val="000000" w:themeColor="text1"/>
          <w:szCs w:val="21"/>
          <w:u w:val="single"/>
          <w:lang w:val="en-US" w:eastAsia="zh-CN"/>
          <w14:textFill>
            <w14:solidFill>
              <w14:schemeClr w14:val="tx1"/>
            </w14:solidFill>
          </w14:textFill>
        </w:rPr>
        <w:t xml:space="preserve"> </w:t>
      </w:r>
      <w:r>
        <w:rPr>
          <w:rFonts w:hint="eastAsia" w:ascii="宋体" w:hAnsi="宋体"/>
          <w:b/>
          <w:bCs/>
          <w:color w:val="000000" w:themeColor="text1"/>
          <w:szCs w:val="21"/>
          <w:u w:val="single"/>
          <w:lang w:val="en-US" w:eastAsia="zh-CN"/>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分钟，自由报价结束后立即自动进入延时报价期。延时报价期可由多个延时报价周期组成，每个延时报价周期为</w:t>
      </w:r>
      <w:r>
        <w:rPr>
          <w:rFonts w:hint="eastAsia" w:ascii="宋体" w:hAnsi="宋体"/>
          <w:color w:val="000000" w:themeColor="text1"/>
          <w:szCs w:val="21"/>
          <w:u w:val="single"/>
          <w:lang w:val="en-US" w:eastAsia="zh-CN"/>
          <w14:textFill>
            <w14:solidFill>
              <w14:schemeClr w14:val="tx1"/>
            </w14:solidFill>
          </w14:textFill>
        </w:rPr>
        <w:t xml:space="preserve"> </w:t>
      </w:r>
      <w:r>
        <w:rPr>
          <w:rFonts w:ascii="宋体" w:hAnsi="宋体"/>
          <w:b/>
          <w:bCs/>
          <w:color w:val="000000" w:themeColor="text1"/>
          <w:szCs w:val="21"/>
          <w:u w:val="single"/>
          <w14:textFill>
            <w14:solidFill>
              <w14:schemeClr w14:val="tx1"/>
            </w14:solidFill>
          </w14:textFill>
        </w:rPr>
        <w:t>2</w:t>
      </w:r>
      <w:r>
        <w:rPr>
          <w:rFonts w:hint="eastAsia" w:ascii="宋体" w:hAnsi="宋体"/>
          <w:b/>
          <w:bCs/>
          <w:color w:val="000000" w:themeColor="text1"/>
          <w:szCs w:val="21"/>
          <w:u w:val="single"/>
          <w:lang w:val="en-US" w:eastAsia="zh-CN"/>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分钟。在一个延时报价周期内，如出现有效报价，则立即自动进入新一轮的延时报价周期；在一个延时报价周期内如未出现有效报价，则本次竞价结束。自由报价期竞价人可以多次报价。</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3）报价的有效性</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竞价会的首个报价只需不低于标的底价即为有效。</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第二个报价起，以人民币</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b/>
          <w:bCs/>
          <w:color w:val="000000" w:themeColor="text1"/>
          <w:szCs w:val="21"/>
          <w:u w:val="single"/>
          <w:lang w:val="en-US" w:eastAsia="zh-CN"/>
          <w14:textFill>
            <w14:solidFill>
              <w14:schemeClr w14:val="tx1"/>
            </w14:solidFill>
          </w14:textFill>
        </w:rPr>
        <w:t>伍拾</w:t>
      </w:r>
      <w:r>
        <w:rPr>
          <w:rFonts w:hint="eastAsia" w:ascii="宋体" w:hAnsi="宋体"/>
          <w:b/>
          <w:bCs/>
          <w:color w:val="000000" w:themeColor="text1"/>
          <w:szCs w:val="21"/>
          <w:u w:val="single"/>
          <w14:textFill>
            <w14:solidFill>
              <w14:schemeClr w14:val="tx1"/>
            </w14:solidFill>
          </w14:textFill>
        </w:rPr>
        <w:t>元/月</w:t>
      </w:r>
      <w:r>
        <w:rPr>
          <w:rFonts w:hint="eastAsia" w:ascii="宋体" w:hAnsi="宋体"/>
          <w:color w:val="000000" w:themeColor="text1"/>
          <w:szCs w:val="21"/>
          <w14:textFill>
            <w14:solidFill>
              <w14:schemeClr w14:val="tx1"/>
            </w14:solidFill>
          </w14:textFill>
        </w:rPr>
        <w:t>（详见本规则第一条标的清单）为基本报价单位，报价中含有基本报价单位以下金额的，系统将自动舍去基本报价单位以下的金额为有效报价。</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第二个报价起，每次报价不得低于当前最高有效报价加上系统设定的最低加价幅度</w:t>
      </w:r>
      <w:r>
        <w:rPr>
          <w:rFonts w:hint="eastAsia" w:ascii="宋体" w:hAnsi="宋体"/>
          <w:b/>
          <w:bCs/>
          <w:color w:val="000000" w:themeColor="text1"/>
          <w:szCs w:val="21"/>
          <w:u w:val="single"/>
          <w:lang w:val="en-US" w:eastAsia="zh-CN"/>
          <w14:textFill>
            <w14:solidFill>
              <w14:schemeClr w14:val="tx1"/>
            </w14:solidFill>
          </w14:textFill>
        </w:rPr>
        <w:t>100元</w:t>
      </w:r>
      <w:r>
        <w:rPr>
          <w:rFonts w:hint="eastAsia" w:ascii="宋体" w:hAnsi="宋体"/>
          <w:color w:val="000000" w:themeColor="text1"/>
          <w:szCs w:val="21"/>
          <w14:textFill>
            <w14:solidFill>
              <w14:schemeClr w14:val="tx1"/>
            </w14:solidFill>
          </w14:textFill>
        </w:rPr>
        <w:t>（详见本规则第一条标的清单），不限最高报价。</w:t>
      </w:r>
    </w:p>
    <w:p>
      <w:pPr>
        <w:pStyle w:val="11"/>
        <w:numPr>
          <w:ilvl w:val="0"/>
          <w:numId w:val="1"/>
        </w:numPr>
        <w:autoSpaceDE w:val="0"/>
        <w:autoSpaceDN w:val="0"/>
        <w:adjustRightInd w:val="0"/>
        <w:snapToGrid w:val="0"/>
        <w:spacing w:line="360" w:lineRule="exact"/>
        <w:ind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最终</w:t>
      </w:r>
      <w:r>
        <w:rPr>
          <w:rFonts w:hint="eastAsia" w:ascii="宋体" w:hAnsi="宋体"/>
          <w:color w:val="000000" w:themeColor="text1"/>
          <w:szCs w:val="21"/>
          <w:lang w:val="en-US" w:eastAsia="zh-CN"/>
          <w14:textFill>
            <w14:solidFill>
              <w14:schemeClr w14:val="tx1"/>
            </w14:solidFill>
          </w14:textFill>
        </w:rPr>
        <w:t>竞得人</w:t>
      </w:r>
      <w:r>
        <w:rPr>
          <w:rFonts w:hint="eastAsia" w:ascii="宋体" w:hAnsi="宋体"/>
          <w:color w:val="000000" w:themeColor="text1"/>
          <w:szCs w:val="21"/>
          <w14:textFill>
            <w14:solidFill>
              <w14:schemeClr w14:val="tx1"/>
            </w14:solidFill>
          </w14:textFill>
        </w:rPr>
        <w:t>的确定</w:t>
      </w:r>
    </w:p>
    <w:p>
      <w:pPr>
        <w:autoSpaceDE w:val="0"/>
        <w:autoSpaceDN w:val="0"/>
        <w:adjustRightInd w:val="0"/>
        <w:snapToGrid w:val="0"/>
        <w:spacing w:line="360" w:lineRule="exact"/>
        <w:ind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竞价会各项标的竞价结束时的最高有效报价被认定为成交价，该竞价人也被认定为该项标的的最终竞得人。报价一经确认提交，不可修改或撤销，竞价人应对自己的报价行为负责，一经报价即为有效，不得以任何理由对抗自己报价的法律效果。各竞价人应谨慎思考，合理报价。 </w:t>
      </w:r>
    </w:p>
    <w:p>
      <w:p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七、特别约定与网络竞价风险提示</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如在报名期间内办理该项标的竞价登记的竞价人仅有一人，委托人同意以标的底价成交，且竞出价格不低于标的底价，该竞价自动中标；如在竞价期间内无人在底价之上（含底价）出价，则本轮竞价活动自动终止。</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2、发生下列情形之一的，主持人有权中止、终结竞价活动或在竞价活动结束后宣布结果为无效: </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1）系统服务器所处互联网络或中心网络出现故障的；</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2）系统服务器硬件或软件等出现故障的；</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3）包括但不限于标的权属不符、标的性状改变等原因而使竞价活动产生争议的；</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4）发现竞价标的存在违反法律法规、政府规章规定不得转让或应当中止转让的或发现竞价人竞价存在违法或违规情形可能会影响到竞价活动的公开、公平、公正进行的；</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5）其它甲方认为需要中止或终结竞价活动的情形。</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竞价活动中止、终结或竞价结果为无效的，甲方可择期按其它公开、公平、公正的方式重新竞价，相关事宜将另行通知各竞价人。</w:t>
      </w:r>
    </w:p>
    <w:p>
      <w:pPr>
        <w:numPr>
          <w:ilvl w:val="0"/>
          <w:numId w:val="2"/>
        </w:numPr>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因竞价人如下行为产生的一切后果，甲方不承担任何责任:</w:t>
      </w:r>
    </w:p>
    <w:p>
      <w:pPr>
        <w:autoSpaceDE w:val="0"/>
        <w:autoSpaceDN w:val="0"/>
        <w:adjustRightInd w:val="0"/>
        <w:snapToGrid w:val="0"/>
        <w:spacing w:line="38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1）未提前完成CA数字证书或个人标识证书的办理，导致错过报名时间；</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）所提交的信息不真实、不准确或不完整的；</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）未及时关注甲方、委托人发布的竞价活动相关的公告，未及时登录系统参加竞价的；</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4</w:t>
      </w:r>
      <w:r>
        <w:rPr>
          <w:rFonts w:hint="eastAsia" w:ascii="宋体" w:hAnsi="宋体"/>
          <w:color w:val="000000" w:themeColor="text1"/>
          <w:szCs w:val="21"/>
          <w14:textFill>
            <w14:solidFill>
              <w14:schemeClr w14:val="tx1"/>
            </w14:solidFill>
          </w14:textFill>
        </w:rPr>
        <w:t>）竞价人因以下原因未能登录系统参加竞价的:</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(1)自身报价终端设备故障和互联网络异常；</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(2)自身通信设备故障；</w:t>
      </w:r>
    </w:p>
    <w:p>
      <w:pPr>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(3)竞价人自身终端设备时间与竞价系统服务器不符的(竞价活动的时间以竞价系统服务器时间为准)。</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4、网上竞价风险</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1）互联网是全球公共网络，并不受任何一个机构所控制。数据在互联网上传输的途径不是完全确定的。互联网本身并不是绝对安全可靠的环境。</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2）在互联网上传输的数据有可能被某些个人、团体或机构通过某种渠道获得。</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3）互联网上的数据传输可能因通信繁忙出现延迟，或因其他原因出现停顿、中断或数据不完全、数据错误等情况，从而使系统服务出现延迟、停顿或中断。</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4）互联网上发布的各种信息可能出现错误。</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5）竞价人在系统上身份可能会被仿冒。网上竞价人自身计算机性能、质量、病毒、故障及其他原因，可能会影响响应时间或数据，给甲方和委托人带来损失。</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6）竞价人自身计算机应用操作能力及互联网知识的缺乏带来损失。</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7）竞价人自身的疏乎造成账号或密码泄漏，可能会给甲方造成损失。</w:t>
      </w:r>
    </w:p>
    <w:p>
      <w:pPr>
        <w:autoSpaceDE w:val="0"/>
        <w:autoSpaceDN w:val="0"/>
        <w:adjustRightInd w:val="0"/>
        <w:snapToGrid w:val="0"/>
        <w:spacing w:line="360" w:lineRule="exact"/>
        <w:ind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8）竞价人必须充分估计上述原因导致网上出价不同所带来的风险，如果发生上述情况以及本人操作差错所造成的损失由竞价人承担，甲方不负有任何责任。</w:t>
      </w:r>
    </w:p>
    <w:p>
      <w:p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八、成交价款、竞价佣金</w:t>
      </w:r>
    </w:p>
    <w:p>
      <w:pPr>
        <w:autoSpaceDE w:val="0"/>
        <w:autoSpaceDN w:val="0"/>
        <w:adjustRightInd w:val="0"/>
        <w:snapToGrid w:val="0"/>
        <w:spacing w:line="38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1、竞价成交后，甲方、乙方及委托方依次在交易系统线上进行《成交结果确认书》的签章。竞价结果公示期满无异议后，在《成交结果确认书》约定的期限内各方签署《</w:t>
      </w:r>
      <w:r>
        <w:rPr>
          <w:rFonts w:hint="eastAsia" w:ascii="宋体" w:hAnsi="宋体"/>
          <w:color w:val="000000" w:themeColor="text1"/>
          <w:szCs w:val="21"/>
          <w:lang w:val="en-US" w:eastAsia="zh-CN"/>
          <w14:textFill>
            <w14:solidFill>
              <w14:schemeClr w14:val="tx1"/>
            </w14:solidFill>
          </w14:textFill>
        </w:rPr>
        <w:t>房屋</w:t>
      </w:r>
      <w:r>
        <w:rPr>
          <w:rFonts w:hint="eastAsia" w:ascii="宋体" w:hAnsi="宋体"/>
          <w:color w:val="000000" w:themeColor="text1"/>
          <w:szCs w:val="21"/>
          <w14:textFill>
            <w14:solidFill>
              <w14:schemeClr w14:val="tx1"/>
            </w14:solidFill>
          </w14:textFill>
        </w:rPr>
        <w:t>租赁合同》，有优先承租权人的标的如由非优先承租权人竞得，房屋按腾退后的现状交付使用，最终</w:t>
      </w:r>
      <w:r>
        <w:rPr>
          <w:rFonts w:hint="eastAsia" w:ascii="宋体" w:hAnsi="宋体"/>
          <w:color w:val="000000" w:themeColor="text1"/>
          <w:szCs w:val="21"/>
          <w:lang w:val="en-US" w:eastAsia="zh-CN"/>
          <w14:textFill>
            <w14:solidFill>
              <w14:schemeClr w14:val="tx1"/>
            </w14:solidFill>
          </w14:textFill>
        </w:rPr>
        <w:t>竞得人</w:t>
      </w:r>
      <w:r>
        <w:rPr>
          <w:rFonts w:hint="eastAsia" w:ascii="宋体" w:hAnsi="宋体"/>
          <w:color w:val="000000" w:themeColor="text1"/>
          <w:szCs w:val="21"/>
          <w14:textFill>
            <w14:solidFill>
              <w14:schemeClr w14:val="tx1"/>
            </w14:solidFill>
          </w14:textFill>
        </w:rPr>
        <w:t>不签或拒签相关成交文件，并不免除其应承担的相应法律责任。</w:t>
      </w:r>
    </w:p>
    <w:p>
      <w:pPr>
        <w:tabs>
          <w:tab w:val="left" w:pos="900"/>
        </w:tabs>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r>
        <w:rPr>
          <w:rFonts w:hint="eastAsia" w:ascii="宋体" w:hAnsi="宋体"/>
          <w:b/>
          <w:color w:val="000000" w:themeColor="text1"/>
          <w:szCs w:val="21"/>
          <w14:textFill>
            <w14:solidFill>
              <w14:schemeClr w14:val="tx1"/>
            </w14:solidFill>
          </w14:textFill>
        </w:rPr>
        <w:t>竞价佣金</w:t>
      </w:r>
      <w:r>
        <w:rPr>
          <w:rFonts w:hint="eastAsia" w:ascii="宋体" w:hAnsi="宋体"/>
          <w:color w:val="000000" w:themeColor="text1"/>
          <w:szCs w:val="21"/>
          <w14:textFill>
            <w14:solidFill>
              <w14:schemeClr w14:val="tx1"/>
            </w14:solidFill>
          </w14:textFill>
        </w:rPr>
        <w:t>：竞价成交后，</w:t>
      </w:r>
      <w:r>
        <w:rPr>
          <w:rFonts w:hint="eastAsia" w:ascii="宋体" w:hAnsi="宋体" w:cs="Malgun Gothic Semilight"/>
          <w:color w:val="000000" w:themeColor="text1"/>
          <w:spacing w:val="-2"/>
          <w:szCs w:val="21"/>
          <w14:textFill>
            <w14:solidFill>
              <w14:schemeClr w14:val="tx1"/>
            </w14:solidFill>
          </w14:textFill>
        </w:rPr>
        <w:t>最终</w:t>
      </w:r>
      <w:r>
        <w:rPr>
          <w:rFonts w:hint="eastAsia" w:ascii="宋体" w:hAnsi="宋体"/>
          <w:color w:val="000000" w:themeColor="text1"/>
          <w:szCs w:val="21"/>
          <w:lang w:val="en-US" w:eastAsia="zh-CN"/>
          <w14:textFill>
            <w14:solidFill>
              <w14:schemeClr w14:val="tx1"/>
            </w14:solidFill>
          </w14:textFill>
        </w:rPr>
        <w:t>竞得人</w:t>
      </w:r>
      <w:r>
        <w:rPr>
          <w:rFonts w:hint="eastAsia" w:ascii="宋体" w:hAnsi="宋体" w:cs="Malgun Gothic Semilight"/>
          <w:color w:val="000000" w:themeColor="text1"/>
          <w:spacing w:val="-2"/>
          <w:szCs w:val="21"/>
          <w14:textFill>
            <w14:solidFill>
              <w14:schemeClr w14:val="tx1"/>
            </w14:solidFill>
          </w14:textFill>
        </w:rPr>
        <w:t>按标的成交价的</w:t>
      </w:r>
      <w:r>
        <w:rPr>
          <w:rFonts w:hint="eastAsia" w:ascii="宋体" w:hAnsi="宋体" w:cs="Malgun Gothic Semilight"/>
          <w:b/>
          <w:bCs/>
          <w:color w:val="000000" w:themeColor="text1"/>
          <w:spacing w:val="-2"/>
          <w:szCs w:val="21"/>
          <w14:textFill>
            <w14:solidFill>
              <w14:schemeClr w14:val="tx1"/>
            </w14:solidFill>
          </w14:textFill>
        </w:rPr>
        <w:t>首月租金</w:t>
      </w:r>
      <w:r>
        <w:rPr>
          <w:rFonts w:hint="eastAsia" w:ascii="宋体" w:hAnsi="宋体" w:cs="Malgun Gothic Semilight"/>
          <w:color w:val="000000" w:themeColor="text1"/>
          <w:spacing w:val="-2"/>
          <w:szCs w:val="21"/>
          <w14:textFill>
            <w14:solidFill>
              <w14:schemeClr w14:val="tx1"/>
            </w14:solidFill>
          </w14:textFill>
        </w:rPr>
        <w:t>向甲方支付竞价佣金</w:t>
      </w:r>
      <w:r>
        <w:rPr>
          <w:rFonts w:hint="eastAsia" w:ascii="宋体" w:hAnsi="宋体"/>
          <w:color w:val="000000" w:themeColor="text1"/>
          <w:szCs w:val="21"/>
          <w14:textFill>
            <w14:solidFill>
              <w14:schemeClr w14:val="tx1"/>
            </w14:solidFill>
          </w14:textFill>
        </w:rPr>
        <w:t>。最终</w:t>
      </w:r>
      <w:r>
        <w:rPr>
          <w:rFonts w:hint="eastAsia" w:ascii="宋体" w:hAnsi="宋体"/>
          <w:color w:val="000000" w:themeColor="text1"/>
          <w:szCs w:val="21"/>
          <w:lang w:val="en-US" w:eastAsia="zh-CN"/>
          <w14:textFill>
            <w14:solidFill>
              <w14:schemeClr w14:val="tx1"/>
            </w14:solidFill>
          </w14:textFill>
        </w:rPr>
        <w:t>竞得人</w:t>
      </w:r>
      <w:r>
        <w:rPr>
          <w:rFonts w:hint="eastAsia" w:ascii="宋体" w:hAnsi="宋体"/>
          <w:color w:val="000000" w:themeColor="text1"/>
          <w:szCs w:val="21"/>
          <w14:textFill>
            <w14:solidFill>
              <w14:schemeClr w14:val="tx1"/>
            </w14:solidFill>
          </w14:textFill>
        </w:rPr>
        <w:t>须在签订《房屋租赁合同》后三个工作日内向甲方支付竞价佣金，该笔佣金甲方有权从留存至甲方的履约保证金中扣划。</w:t>
      </w:r>
    </w:p>
    <w:p>
      <w:pPr>
        <w:autoSpaceDE w:val="0"/>
        <w:autoSpaceDN w:val="0"/>
        <w:adjustRightInd w:val="0"/>
        <w:snapToGrid w:val="0"/>
        <w:spacing w:line="38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3、</w:t>
      </w:r>
      <w:r>
        <w:rPr>
          <w:rFonts w:hint="eastAsia" w:ascii="宋体" w:hAnsi="宋体"/>
          <w:color w:val="000000" w:themeColor="text1"/>
          <w:szCs w:val="21"/>
          <w14:textFill>
            <w14:solidFill>
              <w14:schemeClr w14:val="tx1"/>
            </w14:solidFill>
          </w14:textFill>
        </w:rPr>
        <w:t>付款期限：竞价成交后，最终</w:t>
      </w:r>
      <w:r>
        <w:rPr>
          <w:rFonts w:hint="eastAsia" w:ascii="宋体" w:hAnsi="宋体"/>
          <w:color w:val="000000" w:themeColor="text1"/>
          <w:szCs w:val="21"/>
          <w:lang w:val="en-US" w:eastAsia="zh-CN"/>
          <w14:textFill>
            <w14:solidFill>
              <w14:schemeClr w14:val="tx1"/>
            </w14:solidFill>
          </w14:textFill>
        </w:rPr>
        <w:t>竞得人</w:t>
      </w:r>
      <w:r>
        <w:rPr>
          <w:rFonts w:hint="eastAsia" w:ascii="宋体" w:hAnsi="宋体"/>
          <w:color w:val="000000" w:themeColor="text1"/>
          <w:szCs w:val="21"/>
          <w14:textFill>
            <w14:solidFill>
              <w14:schemeClr w14:val="tx1"/>
            </w14:solidFill>
          </w14:textFill>
        </w:rPr>
        <w:t>须按本协议及《房屋租赁合同》约定支付成交标的价款及佣金。</w:t>
      </w:r>
    </w:p>
    <w:p>
      <w:p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九、竞价标的的交付与转移</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w:t>
      </w:r>
      <w:r>
        <w:rPr>
          <w:rFonts w:hint="eastAsia" w:ascii="宋体" w:hAnsi="宋体"/>
          <w:color w:val="000000" w:themeColor="text1"/>
          <w:szCs w:val="21"/>
          <w14:textFill>
            <w14:solidFill>
              <w14:schemeClr w14:val="tx1"/>
            </w14:solidFill>
          </w14:textFill>
        </w:rPr>
        <w:t>竞价成交后，成交标的在《成交结果确认书》约定的期限内最终竞得人与委托人签署《房屋租赁合同》，如委托人要求线下签署的以委托方通知为准。并按《房屋租赁合同》条款约定向委托人支付首期租金及履约保证金，委托人按《房屋租赁合同》约定与最终竞得人办理租赁移交等相关工作。乙方因装修和使用租赁物而产生的全部税、费由乙方自行承担，包括但不限于：水费、电费、煤气/燃气、通讯/网络、有线电视、空调费、公共维修金、垃圾处理费、公摊水电费、热水、停车费(若有)等费用及与乙方经营有关的其他全部税、费。因国家政策调整而不可预见的税费等一律由乙方承担。</w:t>
      </w:r>
    </w:p>
    <w:p>
      <w:pPr>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2、</w:t>
      </w:r>
      <w:r>
        <w:rPr>
          <w:rFonts w:hint="eastAsia" w:ascii="宋体" w:hAnsi="宋体"/>
          <w:color w:val="000000" w:themeColor="text1"/>
          <w:szCs w:val="21"/>
          <w14:textFill>
            <w14:solidFill>
              <w14:schemeClr w14:val="tx1"/>
            </w14:solidFill>
          </w14:textFill>
        </w:rPr>
        <w:t>乙方若要求水、电、空调、通讯等公用事业供应扩容，须事先征得甲方同意，并报有关部门批准后方可实施扩容工程，因此发生的全部费用(包括甲方配合乙方进行管线调整等)及风险由乙方承担。</w:t>
      </w:r>
    </w:p>
    <w:p>
      <w:pPr>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3、有优先承租权人的标的如由非优先承租权人竞得，房屋按腾退后的现状交付使用，如出租方未能第 6 页 共 13 页在40天内（自最终竞得人确认公示日起）组织签订《房屋租赁合同》，最终竞得人必须放弃标的房屋的承租权，且最终竞得人不得向出租方和甲方有任何权益主张。</w:t>
      </w:r>
    </w:p>
    <w:p>
      <w:p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十、违约责任</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1、在竞价成交后，乙方未按本协议约定签署《成交结果确认书》及《房屋租赁合同》的视为违约，竞价保证金不予退还。</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2、如果乙方未按照第</w:t>
      </w:r>
      <w:r>
        <w:rPr>
          <w:rFonts w:hint="eastAsia" w:ascii="宋体" w:hAnsi="宋体"/>
          <w:color w:val="000000" w:themeColor="text1"/>
          <w:szCs w:val="21"/>
          <w:lang w:val="en-US" w:eastAsia="zh-CN"/>
          <w14:textFill>
            <w14:solidFill>
              <w14:schemeClr w14:val="tx1"/>
            </w14:solidFill>
          </w14:textFill>
        </w:rPr>
        <w:t>八</w:t>
      </w:r>
      <w:r>
        <w:rPr>
          <w:rFonts w:hint="eastAsia" w:ascii="宋体" w:hAnsi="宋体"/>
          <w:color w:val="000000" w:themeColor="text1"/>
          <w:szCs w:val="21"/>
          <w14:textFill>
            <w14:solidFill>
              <w14:schemeClr w14:val="tx1"/>
            </w14:solidFill>
          </w14:textFill>
        </w:rPr>
        <w:t>条的规定支付成交价款的，乙方违约。如委托人同意乙方继续履行付款义务的，每迟延一日付款，乙方应向委托人支付应付款项的千分之三作为滞纳金。如委托人拒绝乙方继续履行付款义务的，乙方所交竞价保证金不予退还，竞价保证金不足以弥补委托人因乙方违约遭受的实际损失的，乙方还应当补偿该等实际损失。</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导致标的再次竞价的，按照《中华人民共和国拍卖法》的相关规定，乙方(最终</w:t>
      </w:r>
      <w:r>
        <w:rPr>
          <w:rFonts w:hint="eastAsia" w:ascii="宋体" w:hAnsi="宋体"/>
          <w:color w:val="000000" w:themeColor="text1"/>
          <w:szCs w:val="21"/>
          <w:lang w:eastAsia="zh-CN"/>
          <w14:textFill>
            <w14:solidFill>
              <w14:schemeClr w14:val="tx1"/>
            </w14:solidFill>
          </w14:textFill>
        </w:rPr>
        <w:t>竞得人</w:t>
      </w:r>
      <w:r>
        <w:rPr>
          <w:rFonts w:hint="eastAsia" w:ascii="宋体" w:hAnsi="宋体"/>
          <w:color w:val="000000" w:themeColor="text1"/>
          <w:szCs w:val="21"/>
          <w14:textFill>
            <w14:solidFill>
              <w14:schemeClr w14:val="tx1"/>
            </w14:solidFill>
          </w14:textFill>
        </w:rPr>
        <w:t>)违约造成标的再行竞价的，应当向甲方支付第一次竞价中本人及委托人应当支付的佣金。再行竞价的价款低于原竞价款的，乙方应当补足差额。</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3、如果乙方未按照第</w:t>
      </w:r>
      <w:r>
        <w:rPr>
          <w:rFonts w:hint="eastAsia" w:ascii="宋体" w:hAnsi="宋体"/>
          <w:color w:val="000000" w:themeColor="text1"/>
          <w:szCs w:val="21"/>
          <w:lang w:eastAsia="zh-CN"/>
          <w14:textFill>
            <w14:solidFill>
              <w14:schemeClr w14:val="tx1"/>
            </w14:solidFill>
          </w14:textFill>
        </w:rPr>
        <w:t>八</w:t>
      </w:r>
      <w:r>
        <w:rPr>
          <w:rFonts w:hint="eastAsia" w:ascii="宋体" w:hAnsi="宋体"/>
          <w:color w:val="000000" w:themeColor="text1"/>
          <w:szCs w:val="21"/>
          <w14:textFill>
            <w14:solidFill>
              <w14:schemeClr w14:val="tx1"/>
            </w14:solidFill>
          </w14:textFill>
        </w:rPr>
        <w:t>条的规定支付竞价佣金的，乙方违约。每迟延一日付款，乙方应向甲方支付应付款项的千分之三作为滞纳金。在竞价佣金全部付清前，不退还留存甲方的履约保证金。</w:t>
      </w:r>
    </w:p>
    <w:p>
      <w:pPr>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乙方违反其在竞价活动中所做的陈述与保证、承诺或其他义务，或其在本次竞价活动中所做的有关陈述与保证是不真实、不准确或存在重大遗漏的，甲方有权通知乙方在通知指定期限内予以补正，并要求乙方赔偿甲方及委托人因此遭受的实际损失；或者甲方有权解除本合同，甲方解除本合同的，乙方支付的竞价保证金(成交后为履约保证金)不予返还，前述保证金不足以弥补甲方及委托人因此遭受的实际损失的，最终</w:t>
      </w:r>
      <w:r>
        <w:rPr>
          <w:rFonts w:hint="eastAsia" w:ascii="宋体" w:hAnsi="宋体"/>
          <w:color w:val="000000" w:themeColor="text1"/>
          <w:szCs w:val="21"/>
          <w:lang w:eastAsia="zh-CN"/>
          <w14:textFill>
            <w14:solidFill>
              <w14:schemeClr w14:val="tx1"/>
            </w14:solidFill>
          </w14:textFill>
        </w:rPr>
        <w:t>竞得人</w:t>
      </w:r>
      <w:r>
        <w:rPr>
          <w:rFonts w:hint="eastAsia" w:ascii="宋体" w:hAnsi="宋体"/>
          <w:color w:val="000000" w:themeColor="text1"/>
          <w:szCs w:val="21"/>
          <w14:textFill>
            <w14:solidFill>
              <w14:schemeClr w14:val="tx1"/>
            </w14:solidFill>
          </w14:textFill>
        </w:rPr>
        <w:t>还应当补偿该等实际损失。</w:t>
      </w:r>
    </w:p>
    <w:p>
      <w:pPr>
        <w:autoSpaceDE w:val="0"/>
        <w:autoSpaceDN w:val="0"/>
        <w:adjustRightInd w:val="0"/>
        <w:snapToGrid w:val="0"/>
        <w:spacing w:line="360" w:lineRule="exact"/>
        <w:ind w:firstLine="420" w:firstLineChars="200"/>
        <w:rPr>
          <w:rFonts w:hint="eastAsia" w:ascii="宋体" w:hAnsi="宋体" w:eastAsia="宋体" w:cs="Times New Roman"/>
          <w:b w:val="0"/>
          <w:bCs w:val="0"/>
          <w:color w:val="000000" w:themeColor="text1"/>
          <w:kern w:val="2"/>
          <w:sz w:val="21"/>
          <w:szCs w:val="21"/>
          <w:u w:val="single"/>
          <w:lang w:val="en-US" w:eastAsia="zh-CN" w:bidi="ar-SA"/>
          <w14:textFill>
            <w14:solidFill>
              <w14:schemeClr w14:val="tx1"/>
            </w14:solidFill>
          </w14:textFill>
        </w:rPr>
      </w:pPr>
      <w:r>
        <w:rPr>
          <w:rFonts w:hint="eastAsia" w:ascii="宋体" w:hAnsi="宋体" w:eastAsia="宋体" w:cs="Times New Roman"/>
          <w:b w:val="0"/>
          <w:bCs w:val="0"/>
          <w:color w:val="000000" w:themeColor="text1"/>
          <w:kern w:val="2"/>
          <w:sz w:val="21"/>
          <w:szCs w:val="21"/>
          <w:u w:val="single"/>
          <w:lang w:val="en-US" w:eastAsia="zh-CN" w:bidi="ar-SA"/>
          <w14:textFill>
            <w14:solidFill>
              <w14:schemeClr w14:val="tx1"/>
            </w14:solidFill>
          </w14:textFill>
        </w:rPr>
        <w:t>5、免租期将通过在装修培育期中进行租金扣减并分摊方式予以实现。例如1个月免租期，将在三个月装修培育期中分摊实收两个月租金，以此类推，具体以招标人后续拟定的租金明细表为准。装修培育期内，物业管理服务费、水费、电费及其它费用正常计收。若因承租人原因致使合同提前解除或终止的，招标人有权要求承租人按如下标准补足装修培育期间租金差额：计算公式为：(剩余合同未履行期间/合同总期间)×（装修培育期结束后第一期的月租金-装修培育期月租金）×装修培育期（月）。承租人须在合同解除或终止之日起3日内将相应的租金差额支付给招标人。</w:t>
      </w:r>
    </w:p>
    <w:p>
      <w:pPr>
        <w:autoSpaceDE w:val="0"/>
        <w:autoSpaceDN w:val="0"/>
        <w:adjustRightInd w:val="0"/>
        <w:snapToGrid w:val="0"/>
        <w:spacing w:line="36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十一、保密责任</w:t>
      </w:r>
    </w:p>
    <w:p>
      <w:pPr>
        <w:autoSpaceDE w:val="0"/>
        <w:autoSpaceDN w:val="0"/>
        <w:adjustRightInd w:val="0"/>
        <w:snapToGrid w:val="0"/>
        <w:spacing w:line="360" w:lineRule="exact"/>
        <w:ind w:firstLine="630" w:firstLineChars="3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甲乙双方应对在竞价程序中知悉的对方商业秘密予以保密。</w:t>
      </w:r>
    </w:p>
    <w:p>
      <w:pPr>
        <w:numPr>
          <w:ilvl w:val="0"/>
          <w:numId w:val="3"/>
        </w:numPr>
        <w:autoSpaceDE w:val="0"/>
        <w:autoSpaceDN w:val="0"/>
        <w:adjustRightInd w:val="0"/>
        <w:snapToGrid w:val="0"/>
        <w:spacing w:line="360" w:lineRule="exact"/>
        <w:rPr>
          <w:rFonts w:hint="eastAsia" w:ascii="宋体" w:hAnsi="宋体"/>
          <w:b/>
          <w:color w:val="000000" w:themeColor="text1"/>
          <w:szCs w:val="21"/>
          <w:lang w:val="en-US" w:eastAsia="zh-CN"/>
          <w14:textFill>
            <w14:solidFill>
              <w14:schemeClr w14:val="tx1"/>
            </w14:solidFill>
          </w14:textFill>
        </w:rPr>
      </w:pPr>
      <w:r>
        <w:rPr>
          <w:rFonts w:hint="eastAsia" w:ascii="宋体" w:hAnsi="宋体"/>
          <w:b/>
          <w:color w:val="000000" w:themeColor="text1"/>
          <w:szCs w:val="21"/>
          <w:lang w:val="en-US" w:eastAsia="zh-CN"/>
          <w14:textFill>
            <w14:solidFill>
              <w14:schemeClr w14:val="tx1"/>
            </w14:solidFill>
          </w14:textFill>
        </w:rPr>
        <w:t>标的撤回</w:t>
      </w:r>
    </w:p>
    <w:p>
      <w:pPr>
        <w:numPr>
          <w:ilvl w:val="0"/>
          <w:numId w:val="0"/>
        </w:numPr>
        <w:autoSpaceDE w:val="0"/>
        <w:autoSpaceDN w:val="0"/>
        <w:adjustRightInd w:val="0"/>
        <w:snapToGrid w:val="0"/>
        <w:spacing w:line="360" w:lineRule="exact"/>
        <w:ind w:firstLine="630" w:firstLineChars="3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甲方是中介代理机构，如竞价前委托人撤回委托的，甲、乙双方均应无条件服从，互不承担违约责任。</w:t>
      </w:r>
    </w:p>
    <w:p>
      <w:p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十三、法律适用与争议解决</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本合同的签订、成立、效力、解释、履行等事宜均适用中国法律。</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因本合同及本次竞价活动引起或与本合同及本次竞价活动有关的一切争议，双方均应友好协商解决；如不能解决的，任何一方均应向甲方住所地有管辖权的人民法院提起诉讼。</w:t>
      </w:r>
    </w:p>
    <w:p>
      <w:pPr>
        <w:autoSpaceDE w:val="0"/>
        <w:autoSpaceDN w:val="0"/>
        <w:adjustRightInd w:val="0"/>
        <w:snapToGrid w:val="0"/>
        <w:spacing w:line="360" w:lineRule="exact"/>
        <w:ind w:firstLine="420" w:firstLineChars="200"/>
        <w:rPr>
          <w:rFonts w:hint="eastAsia" w:ascii="宋体" w:hAnsi="宋体"/>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如果本合同的某条款被宣布为无效，应不影响本合同任何其他条款的效力。</w:t>
      </w:r>
    </w:p>
    <w:p>
      <w:pPr>
        <w:autoSpaceDE w:val="0"/>
        <w:autoSpaceDN w:val="0"/>
        <w:adjustRightInd w:val="0"/>
        <w:snapToGrid w:val="0"/>
        <w:spacing w:line="36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十四、合同的生效</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本合同经甲、乙双方签章起生效。</w:t>
      </w:r>
    </w:p>
    <w:p>
      <w:pPr>
        <w:autoSpaceDE w:val="0"/>
        <w:autoSpaceDN w:val="0"/>
        <w:adjustRightInd w:val="0"/>
        <w:snapToGrid w:val="0"/>
        <w:spacing w:line="360" w:lineRule="exact"/>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本合同一式贰份，甲方、乙方各执壹份，具有同等法律效力。</w:t>
      </w:r>
    </w:p>
    <w:p>
      <w:pPr>
        <w:autoSpaceDE w:val="0"/>
        <w:autoSpaceDN w:val="0"/>
        <w:adjustRightInd w:val="0"/>
        <w:snapToGrid w:val="0"/>
        <w:spacing w:line="360" w:lineRule="exact"/>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《房屋租赁合同（样稿）（商业)》、《竞价清单》、《商户信用管理办法(试行)》作为 本协议的附件是本协议不可分割的一部分，与本合同具有同等效力。《房屋租赁合同样稿（商 业)》、《竞价清单》、《商户信用管理办法(试行)》及相关书面文件是甲方与乙方之间权利 义务的重要内容，为本协议的重要组成部分，本协议未尽事宜应按该《房屋租赁合同（样稿） （商业)》、《竞价清单》、《商户信用管理办法(试行)》执行。如有未尽事宜，双方可以签 订补充协议。</w:t>
      </w:r>
    </w:p>
    <w:p>
      <w:pPr>
        <w:autoSpaceDE w:val="0"/>
        <w:autoSpaceDN w:val="0"/>
        <w:adjustRightInd w:val="0"/>
        <w:snapToGrid w:val="0"/>
        <w:spacing w:line="360" w:lineRule="exact"/>
        <w:ind w:firstLine="422" w:firstLineChars="200"/>
        <w:rPr>
          <w:rFonts w:hint="eastAsia" w:ascii="宋体" w:hAnsi="宋体" w:cs="Times New Roman"/>
          <w:b/>
          <w:color w:val="000000" w:themeColor="text1"/>
          <w:szCs w:val="21"/>
          <w:lang w:eastAsia="zh-CN"/>
          <w14:textFill>
            <w14:solidFill>
              <w14:schemeClr w14:val="tx1"/>
            </w14:solidFill>
          </w14:textFill>
        </w:rPr>
      </w:pPr>
      <w:r>
        <w:rPr>
          <w:rFonts w:hint="eastAsia" w:ascii="宋体" w:hAnsi="宋体"/>
          <w:b/>
          <w:color w:val="000000" w:themeColor="text1"/>
          <w:szCs w:val="21"/>
          <w14:textFill>
            <w14:solidFill>
              <w14:schemeClr w14:val="tx1"/>
            </w14:solidFill>
          </w14:textFill>
        </w:rPr>
        <w:t>附件</w:t>
      </w:r>
      <w:r>
        <w:rPr>
          <w:rFonts w:hint="eastAsia" w:ascii="宋体" w:hAnsi="宋体" w:cs="Times New Roman"/>
          <w:b/>
          <w:color w:val="000000" w:themeColor="text1"/>
          <w:szCs w:val="21"/>
          <w:lang w:val="en-US" w:eastAsia="zh-CN"/>
          <w14:textFill>
            <w14:solidFill>
              <w14:schemeClr w14:val="tx1"/>
            </w14:solidFill>
          </w14:textFill>
        </w:rPr>
        <w:t>1.</w:t>
      </w:r>
      <w:r>
        <w:rPr>
          <w:rFonts w:hint="eastAsia" w:ascii="宋体" w:hAnsi="宋体" w:cs="Times New Roman"/>
          <w:b/>
          <w:color w:val="000000" w:themeColor="text1"/>
          <w:szCs w:val="21"/>
          <w:lang w:eastAsia="zh-CN"/>
          <w14:textFill>
            <w14:solidFill>
              <w14:schemeClr w14:val="tx1"/>
            </w14:solidFill>
          </w14:textFill>
        </w:rPr>
        <w:t>《</w:t>
      </w:r>
      <w:r>
        <w:rPr>
          <w:rFonts w:hint="eastAsia" w:ascii="宋体" w:hAnsi="宋体" w:cs="Times New Roman"/>
          <w:b/>
          <w:color w:val="000000" w:themeColor="text1"/>
          <w:szCs w:val="21"/>
          <w:lang w:val="en-US" w:eastAsia="zh-CN"/>
          <w14:textFill>
            <w14:solidFill>
              <w14:schemeClr w14:val="tx1"/>
            </w14:solidFill>
          </w14:textFill>
        </w:rPr>
        <w:t>房屋租赁合同样稿（商业）</w:t>
      </w:r>
      <w:r>
        <w:rPr>
          <w:rFonts w:hint="eastAsia" w:ascii="宋体" w:hAnsi="宋体" w:cs="Times New Roman"/>
          <w:b/>
          <w:color w:val="000000" w:themeColor="text1"/>
          <w:szCs w:val="21"/>
          <w:lang w:eastAsia="zh-CN"/>
          <w14:textFill>
            <w14:solidFill>
              <w14:schemeClr w14:val="tx1"/>
            </w14:solidFill>
          </w14:textFill>
        </w:rPr>
        <w:t>》</w:t>
      </w:r>
    </w:p>
    <w:p>
      <w:pPr>
        <w:numPr>
          <w:numId w:val="0"/>
        </w:numPr>
        <w:autoSpaceDE w:val="0"/>
        <w:autoSpaceDN w:val="0"/>
        <w:adjustRightInd w:val="0"/>
        <w:snapToGrid w:val="0"/>
        <w:spacing w:line="360" w:lineRule="exact"/>
        <w:ind w:firstLine="843" w:firstLineChars="400"/>
        <w:rPr>
          <w:rFonts w:hint="eastAsia" w:ascii="宋体" w:hAnsi="宋体"/>
          <w:b/>
          <w:color w:val="000000" w:themeColor="text1"/>
          <w:szCs w:val="21"/>
          <w:lang w:eastAsia="zh-CN"/>
          <w14:textFill>
            <w14:solidFill>
              <w14:schemeClr w14:val="tx1"/>
            </w14:solidFill>
          </w14:textFill>
        </w:rPr>
      </w:pPr>
      <w:r>
        <w:rPr>
          <w:rFonts w:hint="eastAsia" w:ascii="宋体" w:hAnsi="宋体"/>
          <w:b/>
          <w:color w:val="000000" w:themeColor="text1"/>
          <w:szCs w:val="21"/>
          <w:lang w:val="en-US" w:eastAsia="zh-CN"/>
          <w14:textFill>
            <w14:solidFill>
              <w14:schemeClr w14:val="tx1"/>
            </w14:solidFill>
          </w14:textFill>
        </w:rPr>
        <w:t>2.</w:t>
      </w:r>
      <w:r>
        <w:rPr>
          <w:rFonts w:hint="eastAsia" w:ascii="宋体" w:hAnsi="宋体"/>
          <w:b/>
          <w:color w:val="000000" w:themeColor="text1"/>
          <w:szCs w:val="21"/>
          <w:lang w:eastAsia="zh-CN"/>
          <w14:textFill>
            <w14:solidFill>
              <w14:schemeClr w14:val="tx1"/>
            </w14:solidFill>
          </w14:textFill>
        </w:rPr>
        <w:t>《</w:t>
      </w:r>
      <w:r>
        <w:rPr>
          <w:rFonts w:hint="eastAsia" w:ascii="宋体" w:hAnsi="宋体"/>
          <w:b/>
          <w:color w:val="000000" w:themeColor="text1"/>
          <w:szCs w:val="21"/>
          <w:lang w:val="en-US" w:eastAsia="zh-CN"/>
          <w14:textFill>
            <w14:solidFill>
              <w14:schemeClr w14:val="tx1"/>
            </w14:solidFill>
          </w14:textFill>
        </w:rPr>
        <w:t>竞价清单</w:t>
      </w:r>
      <w:r>
        <w:rPr>
          <w:rFonts w:hint="eastAsia" w:ascii="宋体" w:hAnsi="宋体"/>
          <w:b/>
          <w:color w:val="000000" w:themeColor="text1"/>
          <w:szCs w:val="21"/>
          <w:lang w:eastAsia="zh-CN"/>
          <w14:textFill>
            <w14:solidFill>
              <w14:schemeClr w14:val="tx1"/>
            </w14:solidFill>
          </w14:textFill>
        </w:rPr>
        <w:t>》</w:t>
      </w:r>
    </w:p>
    <w:p>
      <w:pPr>
        <w:numPr>
          <w:numId w:val="0"/>
        </w:numPr>
        <w:autoSpaceDE w:val="0"/>
        <w:autoSpaceDN w:val="0"/>
        <w:adjustRightInd w:val="0"/>
        <w:snapToGrid w:val="0"/>
        <w:spacing w:line="360" w:lineRule="exact"/>
        <w:ind w:firstLine="843" w:firstLineChars="400"/>
        <w:rPr>
          <w:rFonts w:hint="eastAsia" w:ascii="宋体" w:hAnsi="宋体" w:cs="Times New Roman"/>
          <w:b/>
          <w:color w:val="000000" w:themeColor="text1"/>
          <w:szCs w:val="21"/>
          <w:lang w:eastAsia="zh-CN"/>
          <w14:textFill>
            <w14:solidFill>
              <w14:schemeClr w14:val="tx1"/>
            </w14:solidFill>
          </w14:textFill>
        </w:rPr>
      </w:pPr>
      <w:r>
        <w:rPr>
          <w:rFonts w:hint="eastAsia" w:ascii="宋体" w:hAnsi="宋体" w:cs="Times New Roman"/>
          <w:b/>
          <w:color w:val="000000" w:themeColor="text1"/>
          <w:szCs w:val="21"/>
          <w:lang w:val="en-US" w:eastAsia="zh-CN"/>
          <w14:textFill>
            <w14:solidFill>
              <w14:schemeClr w14:val="tx1"/>
            </w14:solidFill>
          </w14:textFill>
        </w:rPr>
        <w:t>3.</w:t>
      </w:r>
      <w:bookmarkStart w:id="0" w:name="_GoBack"/>
      <w:bookmarkEnd w:id="0"/>
      <w:r>
        <w:rPr>
          <w:rFonts w:hint="eastAsia" w:ascii="宋体" w:hAnsi="宋体" w:cs="Times New Roman"/>
          <w:b/>
          <w:color w:val="000000" w:themeColor="text1"/>
          <w:szCs w:val="21"/>
          <w:lang w:eastAsia="zh-CN"/>
          <w14:textFill>
            <w14:solidFill>
              <w14:schemeClr w14:val="tx1"/>
            </w14:solidFill>
          </w14:textFill>
        </w:rPr>
        <w:t>《商户信用管理办法》</w:t>
      </w:r>
    </w:p>
    <w:p>
      <w:pPr>
        <w:numPr>
          <w:ilvl w:val="0"/>
          <w:numId w:val="0"/>
        </w:numPr>
        <w:autoSpaceDE w:val="0"/>
        <w:autoSpaceDN w:val="0"/>
        <w:adjustRightInd w:val="0"/>
        <w:snapToGrid w:val="0"/>
        <w:spacing w:line="360" w:lineRule="exact"/>
        <w:rPr>
          <w:rFonts w:hint="eastAsia" w:ascii="宋体" w:hAnsi="宋体"/>
          <w:b/>
          <w:color w:val="000000" w:themeColor="text1"/>
          <w:szCs w:val="21"/>
          <w:lang w:eastAsia="zh-CN"/>
          <w14:textFill>
            <w14:solidFill>
              <w14:schemeClr w14:val="tx1"/>
            </w14:solidFill>
          </w14:textFill>
        </w:rPr>
      </w:pPr>
    </w:p>
    <w:p>
      <w:pPr>
        <w:autoSpaceDE w:val="0"/>
        <w:autoSpaceDN w:val="0"/>
        <w:adjustRightInd w:val="0"/>
        <w:snapToGrid w:val="0"/>
        <w:spacing w:line="320" w:lineRule="exact"/>
        <w:ind w:firstLine="422" w:firstLineChars="200"/>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代理人(甲方)：厦门会丰拍卖有限责任公司      竞价人(乙方)：</w:t>
      </w:r>
    </w:p>
    <w:p>
      <w:pPr>
        <w:autoSpaceDE w:val="0"/>
        <w:autoSpaceDN w:val="0"/>
        <w:adjustRightInd w:val="0"/>
        <w:snapToGrid w:val="0"/>
        <w:spacing w:line="320" w:lineRule="exact"/>
        <w:ind w:firstLine="4006" w:firstLineChars="1900"/>
        <w:jc w:val="left"/>
        <w:rPr>
          <w:rFonts w:ascii="宋体" w:hAnsi="宋体"/>
          <w:b/>
          <w:color w:val="000000" w:themeColor="text1"/>
          <w:szCs w:val="21"/>
          <w14:textFill>
            <w14:solidFill>
              <w14:schemeClr w14:val="tx1"/>
            </w14:solidFill>
          </w14:textFill>
        </w:rPr>
      </w:pPr>
    </w:p>
    <w:p>
      <w:pPr>
        <w:autoSpaceDE w:val="0"/>
        <w:autoSpaceDN w:val="0"/>
        <w:adjustRightInd w:val="0"/>
        <w:snapToGrid w:val="0"/>
        <w:spacing w:line="320" w:lineRule="exact"/>
        <w:ind w:firstLine="4006" w:firstLineChars="1900"/>
        <w:jc w:val="lef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　　　　　受 </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 xml:space="preserve">托  </w:t>
      </w:r>
      <w:r>
        <w:rPr>
          <w:rFonts w:ascii="宋体" w:hAnsi="宋体"/>
          <w:b/>
          <w:color w:val="000000" w:themeColor="text1"/>
          <w:szCs w:val="21"/>
          <w14:textFill>
            <w14:solidFill>
              <w14:schemeClr w14:val="tx1"/>
            </w14:solidFill>
          </w14:textFill>
        </w:rPr>
        <w:t xml:space="preserve"> </w:t>
      </w:r>
      <w:r>
        <w:rPr>
          <w:rFonts w:hint="eastAsia" w:ascii="宋体" w:hAnsi="宋体"/>
          <w:b/>
          <w:color w:val="000000" w:themeColor="text1"/>
          <w:szCs w:val="21"/>
          <w14:textFill>
            <w14:solidFill>
              <w14:schemeClr w14:val="tx1"/>
            </w14:solidFill>
          </w14:textFill>
        </w:rPr>
        <w:t>人：</w:t>
      </w:r>
    </w:p>
    <w:p>
      <w:pPr>
        <w:autoSpaceDE w:val="0"/>
        <w:autoSpaceDN w:val="0"/>
        <w:adjustRightInd w:val="0"/>
        <w:snapToGrid w:val="0"/>
        <w:spacing w:line="320" w:lineRule="exact"/>
        <w:ind w:firstLine="4006" w:firstLineChars="1900"/>
        <w:jc w:val="left"/>
        <w:rPr>
          <w:rFonts w:ascii="宋体" w:hAnsi="宋体"/>
          <w:b/>
          <w:color w:val="000000" w:themeColor="text1"/>
          <w:szCs w:val="21"/>
          <w14:textFill>
            <w14:solidFill>
              <w14:schemeClr w14:val="tx1"/>
            </w14:solidFill>
          </w14:textFill>
        </w:rPr>
      </w:pPr>
    </w:p>
    <w:p>
      <w:pPr>
        <w:autoSpaceDE w:val="0"/>
        <w:autoSpaceDN w:val="0"/>
        <w:adjustRightInd w:val="0"/>
        <w:snapToGrid w:val="0"/>
        <w:spacing w:line="320" w:lineRule="exact"/>
        <w:ind w:firstLine="1918" w:firstLineChars="796"/>
        <w:jc w:val="lef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           </w:t>
      </w:r>
    </w:p>
    <w:sectPr>
      <w:footerReference r:id="rId3" w:type="default"/>
      <w:pgSz w:w="11906" w:h="16838"/>
      <w:pgMar w:top="851" w:right="849" w:bottom="426" w:left="993" w:header="851" w:footer="60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algun Gothic Semilight">
    <w:panose1 w:val="020B0502040204020203"/>
    <w:charset w:val="86"/>
    <w:family w:val="swiss"/>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332111"/>
      <w:docPartObj>
        <w:docPartGallery w:val="autotext"/>
      </w:docPartObj>
    </w:sdtPr>
    <w:sdtContent>
      <w:p>
        <w:pPr>
          <w:pStyle w:val="5"/>
          <w:jc w:val="center"/>
        </w:pPr>
        <w:r>
          <w:fldChar w:fldCharType="begin"/>
        </w:r>
        <w:r>
          <w:instrText xml:space="preserve"> PAGE   \* MERGEFORMAT </w:instrText>
        </w:r>
        <w:r>
          <w:fldChar w:fldCharType="separate"/>
        </w:r>
        <w:r>
          <w:rPr>
            <w:lang w:val="zh-CN"/>
          </w:rPr>
          <w:t>5</w:t>
        </w:r>
        <w:r>
          <w:rPr>
            <w:lang w:val="zh-CN"/>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BC6D2D"/>
    <w:multiLevelType w:val="singleLevel"/>
    <w:tmpl w:val="E5BC6D2D"/>
    <w:lvl w:ilvl="0" w:tentative="0">
      <w:start w:val="12"/>
      <w:numFmt w:val="chineseCounting"/>
      <w:suff w:val="nothing"/>
      <w:lvlText w:val="%1、"/>
      <w:lvlJc w:val="left"/>
      <w:rPr>
        <w:rFonts w:hint="eastAsia"/>
      </w:rPr>
    </w:lvl>
  </w:abstractNum>
  <w:abstractNum w:abstractNumId="1">
    <w:nsid w:val="37B0124F"/>
    <w:multiLevelType w:val="multilevel"/>
    <w:tmpl w:val="37B0124F"/>
    <w:lvl w:ilvl="0" w:tentative="0">
      <w:start w:val="4"/>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46F27B08"/>
    <w:multiLevelType w:val="singleLevel"/>
    <w:tmpl w:val="46F27B08"/>
    <w:lvl w:ilvl="0" w:tentative="0">
      <w:start w:val="3"/>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mMzk1NGRjY2JmYmM5YjE3NDY2Njc1OGYxZGIzNGYifQ=="/>
    <w:docVar w:name="KSO_WPS_MARK_KEY" w:val="6b058861-00c0-4adf-9bc8-96fcc01f81dc"/>
  </w:docVars>
  <w:rsids>
    <w:rsidRoot w:val="00131DE6"/>
    <w:rsid w:val="000136E8"/>
    <w:rsid w:val="00021591"/>
    <w:rsid w:val="0002400C"/>
    <w:rsid w:val="00036E50"/>
    <w:rsid w:val="00040EFE"/>
    <w:rsid w:val="00051EF7"/>
    <w:rsid w:val="00054F6E"/>
    <w:rsid w:val="00067FA0"/>
    <w:rsid w:val="00071E41"/>
    <w:rsid w:val="00073C8B"/>
    <w:rsid w:val="000748E0"/>
    <w:rsid w:val="00084985"/>
    <w:rsid w:val="000A0A35"/>
    <w:rsid w:val="000A4A55"/>
    <w:rsid w:val="000A6A36"/>
    <w:rsid w:val="000B2AE3"/>
    <w:rsid w:val="000C2830"/>
    <w:rsid w:val="000C3608"/>
    <w:rsid w:val="000D5247"/>
    <w:rsid w:val="000E4E81"/>
    <w:rsid w:val="000F40D8"/>
    <w:rsid w:val="001008FC"/>
    <w:rsid w:val="001045CD"/>
    <w:rsid w:val="001050FF"/>
    <w:rsid w:val="00106B9F"/>
    <w:rsid w:val="00107C68"/>
    <w:rsid w:val="00116DC4"/>
    <w:rsid w:val="00121A25"/>
    <w:rsid w:val="00131C79"/>
    <w:rsid w:val="00131DE6"/>
    <w:rsid w:val="00133811"/>
    <w:rsid w:val="001347FB"/>
    <w:rsid w:val="00136B60"/>
    <w:rsid w:val="001451FD"/>
    <w:rsid w:val="00153852"/>
    <w:rsid w:val="00167491"/>
    <w:rsid w:val="00170E0F"/>
    <w:rsid w:val="00174ADC"/>
    <w:rsid w:val="0018115A"/>
    <w:rsid w:val="00184353"/>
    <w:rsid w:val="001864D1"/>
    <w:rsid w:val="00186714"/>
    <w:rsid w:val="001C2B7C"/>
    <w:rsid w:val="001D268E"/>
    <w:rsid w:val="001D3041"/>
    <w:rsid w:val="001D6F2F"/>
    <w:rsid w:val="001F10C5"/>
    <w:rsid w:val="002041DC"/>
    <w:rsid w:val="002113D4"/>
    <w:rsid w:val="00216B5F"/>
    <w:rsid w:val="00217298"/>
    <w:rsid w:val="0022747F"/>
    <w:rsid w:val="00235D48"/>
    <w:rsid w:val="00245F2C"/>
    <w:rsid w:val="002558A6"/>
    <w:rsid w:val="002638BB"/>
    <w:rsid w:val="00266D94"/>
    <w:rsid w:val="00292806"/>
    <w:rsid w:val="00294DF8"/>
    <w:rsid w:val="002A04A2"/>
    <w:rsid w:val="002B2B52"/>
    <w:rsid w:val="002B368C"/>
    <w:rsid w:val="002C3269"/>
    <w:rsid w:val="002D584B"/>
    <w:rsid w:val="002D68FA"/>
    <w:rsid w:val="002E5530"/>
    <w:rsid w:val="002F7B00"/>
    <w:rsid w:val="0030578C"/>
    <w:rsid w:val="003113A4"/>
    <w:rsid w:val="00314B1C"/>
    <w:rsid w:val="00323A5A"/>
    <w:rsid w:val="003316A0"/>
    <w:rsid w:val="003404D0"/>
    <w:rsid w:val="003456C2"/>
    <w:rsid w:val="00353BA6"/>
    <w:rsid w:val="0035457F"/>
    <w:rsid w:val="00355D12"/>
    <w:rsid w:val="0036633F"/>
    <w:rsid w:val="00366D32"/>
    <w:rsid w:val="00371D6C"/>
    <w:rsid w:val="00373098"/>
    <w:rsid w:val="00376BEF"/>
    <w:rsid w:val="00397A0F"/>
    <w:rsid w:val="003C01A6"/>
    <w:rsid w:val="003C754A"/>
    <w:rsid w:val="003D0EE7"/>
    <w:rsid w:val="003D29DB"/>
    <w:rsid w:val="003E2A97"/>
    <w:rsid w:val="003E4656"/>
    <w:rsid w:val="003E4868"/>
    <w:rsid w:val="003E7193"/>
    <w:rsid w:val="003F3B10"/>
    <w:rsid w:val="003F4306"/>
    <w:rsid w:val="00403DF7"/>
    <w:rsid w:val="00406A4A"/>
    <w:rsid w:val="00413150"/>
    <w:rsid w:val="00427645"/>
    <w:rsid w:val="0043362A"/>
    <w:rsid w:val="0044130A"/>
    <w:rsid w:val="00442EA1"/>
    <w:rsid w:val="00461EE7"/>
    <w:rsid w:val="0046385F"/>
    <w:rsid w:val="00482EE2"/>
    <w:rsid w:val="00486657"/>
    <w:rsid w:val="004870C3"/>
    <w:rsid w:val="0049171C"/>
    <w:rsid w:val="0049477F"/>
    <w:rsid w:val="004A1D8C"/>
    <w:rsid w:val="004A4A3F"/>
    <w:rsid w:val="004A791D"/>
    <w:rsid w:val="004B115D"/>
    <w:rsid w:val="004B149A"/>
    <w:rsid w:val="004D33FC"/>
    <w:rsid w:val="004F0A66"/>
    <w:rsid w:val="004F588A"/>
    <w:rsid w:val="00503E2E"/>
    <w:rsid w:val="00506030"/>
    <w:rsid w:val="005119BE"/>
    <w:rsid w:val="00512835"/>
    <w:rsid w:val="00530A07"/>
    <w:rsid w:val="005327F3"/>
    <w:rsid w:val="00533B49"/>
    <w:rsid w:val="00535048"/>
    <w:rsid w:val="00535185"/>
    <w:rsid w:val="00550B58"/>
    <w:rsid w:val="0055555D"/>
    <w:rsid w:val="0055609B"/>
    <w:rsid w:val="00565E29"/>
    <w:rsid w:val="0057354A"/>
    <w:rsid w:val="005850E3"/>
    <w:rsid w:val="00587A31"/>
    <w:rsid w:val="005A01A4"/>
    <w:rsid w:val="005B5677"/>
    <w:rsid w:val="005C510C"/>
    <w:rsid w:val="005F0E55"/>
    <w:rsid w:val="005F344D"/>
    <w:rsid w:val="006033A7"/>
    <w:rsid w:val="00604751"/>
    <w:rsid w:val="006056AF"/>
    <w:rsid w:val="0061111A"/>
    <w:rsid w:val="00620070"/>
    <w:rsid w:val="00621D9A"/>
    <w:rsid w:val="00623242"/>
    <w:rsid w:val="00627B26"/>
    <w:rsid w:val="006403FB"/>
    <w:rsid w:val="00640661"/>
    <w:rsid w:val="00642679"/>
    <w:rsid w:val="0064766A"/>
    <w:rsid w:val="00650E2C"/>
    <w:rsid w:val="00655D3A"/>
    <w:rsid w:val="00666EC4"/>
    <w:rsid w:val="00670531"/>
    <w:rsid w:val="00670BB9"/>
    <w:rsid w:val="0068073C"/>
    <w:rsid w:val="006853C2"/>
    <w:rsid w:val="00685C7B"/>
    <w:rsid w:val="0069578A"/>
    <w:rsid w:val="006A1C55"/>
    <w:rsid w:val="006A3921"/>
    <w:rsid w:val="006A774E"/>
    <w:rsid w:val="006B2240"/>
    <w:rsid w:val="006E488A"/>
    <w:rsid w:val="006E5DDF"/>
    <w:rsid w:val="006E5E37"/>
    <w:rsid w:val="006E66D4"/>
    <w:rsid w:val="006F2219"/>
    <w:rsid w:val="006F2F73"/>
    <w:rsid w:val="006F5AB5"/>
    <w:rsid w:val="007067FF"/>
    <w:rsid w:val="0071036A"/>
    <w:rsid w:val="0071052B"/>
    <w:rsid w:val="0071370F"/>
    <w:rsid w:val="00713E08"/>
    <w:rsid w:val="0071735A"/>
    <w:rsid w:val="00724EDA"/>
    <w:rsid w:val="00725EB9"/>
    <w:rsid w:val="00733C7F"/>
    <w:rsid w:val="00734611"/>
    <w:rsid w:val="007440F7"/>
    <w:rsid w:val="007550A3"/>
    <w:rsid w:val="007621BB"/>
    <w:rsid w:val="00767FAB"/>
    <w:rsid w:val="0078652F"/>
    <w:rsid w:val="00790771"/>
    <w:rsid w:val="00793990"/>
    <w:rsid w:val="007A34DB"/>
    <w:rsid w:val="007B32DF"/>
    <w:rsid w:val="007B448F"/>
    <w:rsid w:val="007B7374"/>
    <w:rsid w:val="007C64B7"/>
    <w:rsid w:val="007C76BA"/>
    <w:rsid w:val="007C7733"/>
    <w:rsid w:val="007E3FA2"/>
    <w:rsid w:val="00801228"/>
    <w:rsid w:val="008070BF"/>
    <w:rsid w:val="0081253B"/>
    <w:rsid w:val="00812E1A"/>
    <w:rsid w:val="00827CF3"/>
    <w:rsid w:val="008357C6"/>
    <w:rsid w:val="00843F8B"/>
    <w:rsid w:val="00852967"/>
    <w:rsid w:val="00853797"/>
    <w:rsid w:val="00866E62"/>
    <w:rsid w:val="00872A4C"/>
    <w:rsid w:val="008732C9"/>
    <w:rsid w:val="00875710"/>
    <w:rsid w:val="00882FA7"/>
    <w:rsid w:val="00894ED2"/>
    <w:rsid w:val="00895EF6"/>
    <w:rsid w:val="008A5226"/>
    <w:rsid w:val="008B1289"/>
    <w:rsid w:val="008B2C19"/>
    <w:rsid w:val="008B4DF6"/>
    <w:rsid w:val="008C2CBC"/>
    <w:rsid w:val="008D033A"/>
    <w:rsid w:val="008D215A"/>
    <w:rsid w:val="008D48BC"/>
    <w:rsid w:val="008E05A6"/>
    <w:rsid w:val="008E0AE9"/>
    <w:rsid w:val="008E58AD"/>
    <w:rsid w:val="008F7468"/>
    <w:rsid w:val="009053AC"/>
    <w:rsid w:val="0090653A"/>
    <w:rsid w:val="00907136"/>
    <w:rsid w:val="0092362C"/>
    <w:rsid w:val="00931098"/>
    <w:rsid w:val="00933EBA"/>
    <w:rsid w:val="009349EF"/>
    <w:rsid w:val="00946A86"/>
    <w:rsid w:val="00953781"/>
    <w:rsid w:val="00964986"/>
    <w:rsid w:val="0097449F"/>
    <w:rsid w:val="0097589A"/>
    <w:rsid w:val="009819D8"/>
    <w:rsid w:val="00986054"/>
    <w:rsid w:val="00986D12"/>
    <w:rsid w:val="00986FDB"/>
    <w:rsid w:val="0098756C"/>
    <w:rsid w:val="00996984"/>
    <w:rsid w:val="009A2520"/>
    <w:rsid w:val="009B193B"/>
    <w:rsid w:val="009C29B8"/>
    <w:rsid w:val="009D0D19"/>
    <w:rsid w:val="009D0FD7"/>
    <w:rsid w:val="009E6D3F"/>
    <w:rsid w:val="009E769B"/>
    <w:rsid w:val="009F4877"/>
    <w:rsid w:val="009F4F20"/>
    <w:rsid w:val="009F6179"/>
    <w:rsid w:val="00A04179"/>
    <w:rsid w:val="00A103C4"/>
    <w:rsid w:val="00A144B9"/>
    <w:rsid w:val="00A27904"/>
    <w:rsid w:val="00A352DB"/>
    <w:rsid w:val="00A4602D"/>
    <w:rsid w:val="00A47138"/>
    <w:rsid w:val="00A6653D"/>
    <w:rsid w:val="00A763DC"/>
    <w:rsid w:val="00AD2A08"/>
    <w:rsid w:val="00AE4606"/>
    <w:rsid w:val="00AE4C74"/>
    <w:rsid w:val="00AF34C2"/>
    <w:rsid w:val="00AF6EF8"/>
    <w:rsid w:val="00B05075"/>
    <w:rsid w:val="00B05FBF"/>
    <w:rsid w:val="00B06CFB"/>
    <w:rsid w:val="00B12B97"/>
    <w:rsid w:val="00B210F1"/>
    <w:rsid w:val="00B242FF"/>
    <w:rsid w:val="00B31C0A"/>
    <w:rsid w:val="00B3374E"/>
    <w:rsid w:val="00B36A9B"/>
    <w:rsid w:val="00B417C5"/>
    <w:rsid w:val="00B45162"/>
    <w:rsid w:val="00B512AD"/>
    <w:rsid w:val="00B51F96"/>
    <w:rsid w:val="00B71A29"/>
    <w:rsid w:val="00B7596E"/>
    <w:rsid w:val="00B94DAE"/>
    <w:rsid w:val="00BA5B30"/>
    <w:rsid w:val="00BB3368"/>
    <w:rsid w:val="00BB438B"/>
    <w:rsid w:val="00BB5C79"/>
    <w:rsid w:val="00BC6F1C"/>
    <w:rsid w:val="00BD5D2D"/>
    <w:rsid w:val="00BE124A"/>
    <w:rsid w:val="00BE22D6"/>
    <w:rsid w:val="00C05A1D"/>
    <w:rsid w:val="00C05CBF"/>
    <w:rsid w:val="00C13EE1"/>
    <w:rsid w:val="00C203E3"/>
    <w:rsid w:val="00C20B17"/>
    <w:rsid w:val="00C21ECD"/>
    <w:rsid w:val="00C275B0"/>
    <w:rsid w:val="00C323C4"/>
    <w:rsid w:val="00C331D8"/>
    <w:rsid w:val="00C359A3"/>
    <w:rsid w:val="00C44C8E"/>
    <w:rsid w:val="00C475F7"/>
    <w:rsid w:val="00C47762"/>
    <w:rsid w:val="00C50E52"/>
    <w:rsid w:val="00C535B0"/>
    <w:rsid w:val="00C57F19"/>
    <w:rsid w:val="00C74F2B"/>
    <w:rsid w:val="00C75585"/>
    <w:rsid w:val="00C76204"/>
    <w:rsid w:val="00C85F73"/>
    <w:rsid w:val="00CA2563"/>
    <w:rsid w:val="00CC0000"/>
    <w:rsid w:val="00CE2478"/>
    <w:rsid w:val="00CE601A"/>
    <w:rsid w:val="00CF0809"/>
    <w:rsid w:val="00CF240C"/>
    <w:rsid w:val="00CF54F1"/>
    <w:rsid w:val="00D00F5E"/>
    <w:rsid w:val="00D01090"/>
    <w:rsid w:val="00D14FD8"/>
    <w:rsid w:val="00D24AD5"/>
    <w:rsid w:val="00D327B8"/>
    <w:rsid w:val="00D360F8"/>
    <w:rsid w:val="00D4250B"/>
    <w:rsid w:val="00D47380"/>
    <w:rsid w:val="00D47A1D"/>
    <w:rsid w:val="00D52569"/>
    <w:rsid w:val="00D5623A"/>
    <w:rsid w:val="00D63522"/>
    <w:rsid w:val="00D664EF"/>
    <w:rsid w:val="00D76498"/>
    <w:rsid w:val="00D86261"/>
    <w:rsid w:val="00D919B4"/>
    <w:rsid w:val="00D943FE"/>
    <w:rsid w:val="00D968AB"/>
    <w:rsid w:val="00DB6982"/>
    <w:rsid w:val="00DC0C21"/>
    <w:rsid w:val="00DC43E3"/>
    <w:rsid w:val="00DD7CDD"/>
    <w:rsid w:val="00DE1A7B"/>
    <w:rsid w:val="00DE6EAE"/>
    <w:rsid w:val="00DF1722"/>
    <w:rsid w:val="00DF6B67"/>
    <w:rsid w:val="00E128C4"/>
    <w:rsid w:val="00E24039"/>
    <w:rsid w:val="00E24D27"/>
    <w:rsid w:val="00E25B5B"/>
    <w:rsid w:val="00E26F19"/>
    <w:rsid w:val="00E36573"/>
    <w:rsid w:val="00E5038D"/>
    <w:rsid w:val="00E60296"/>
    <w:rsid w:val="00E608C0"/>
    <w:rsid w:val="00E67FFC"/>
    <w:rsid w:val="00E730C3"/>
    <w:rsid w:val="00E85934"/>
    <w:rsid w:val="00E921C5"/>
    <w:rsid w:val="00E971E2"/>
    <w:rsid w:val="00EA3746"/>
    <w:rsid w:val="00EA6124"/>
    <w:rsid w:val="00EB1BC1"/>
    <w:rsid w:val="00EB1CBA"/>
    <w:rsid w:val="00EC098B"/>
    <w:rsid w:val="00EC5FFA"/>
    <w:rsid w:val="00EC7952"/>
    <w:rsid w:val="00EE0F8F"/>
    <w:rsid w:val="00EE3E59"/>
    <w:rsid w:val="00EE5575"/>
    <w:rsid w:val="00EF29BE"/>
    <w:rsid w:val="00EF6B5A"/>
    <w:rsid w:val="00F10D0C"/>
    <w:rsid w:val="00F116F6"/>
    <w:rsid w:val="00F129B4"/>
    <w:rsid w:val="00F374B0"/>
    <w:rsid w:val="00F419B4"/>
    <w:rsid w:val="00F452FD"/>
    <w:rsid w:val="00F47C52"/>
    <w:rsid w:val="00F9637A"/>
    <w:rsid w:val="00FC2DE7"/>
    <w:rsid w:val="00FC2E84"/>
    <w:rsid w:val="00FC5050"/>
    <w:rsid w:val="00FE421A"/>
    <w:rsid w:val="00FE7759"/>
    <w:rsid w:val="00FF01B2"/>
    <w:rsid w:val="02C7384F"/>
    <w:rsid w:val="041C69A4"/>
    <w:rsid w:val="08482108"/>
    <w:rsid w:val="09106E3E"/>
    <w:rsid w:val="109040D1"/>
    <w:rsid w:val="13740E1E"/>
    <w:rsid w:val="17EF06F4"/>
    <w:rsid w:val="1B7A51FD"/>
    <w:rsid w:val="1E7031B9"/>
    <w:rsid w:val="1F180E2F"/>
    <w:rsid w:val="20B82082"/>
    <w:rsid w:val="21CB4413"/>
    <w:rsid w:val="22AB7DC6"/>
    <w:rsid w:val="231A10EA"/>
    <w:rsid w:val="27376525"/>
    <w:rsid w:val="2D67469D"/>
    <w:rsid w:val="323F6D35"/>
    <w:rsid w:val="3C724070"/>
    <w:rsid w:val="3DBD58C1"/>
    <w:rsid w:val="3EB74302"/>
    <w:rsid w:val="433449EF"/>
    <w:rsid w:val="447B6C91"/>
    <w:rsid w:val="44E13D0D"/>
    <w:rsid w:val="47215DA1"/>
    <w:rsid w:val="4E4750D4"/>
    <w:rsid w:val="50724B2D"/>
    <w:rsid w:val="50E201D9"/>
    <w:rsid w:val="51895218"/>
    <w:rsid w:val="53F757A3"/>
    <w:rsid w:val="57803241"/>
    <w:rsid w:val="57EC45A3"/>
    <w:rsid w:val="5838665C"/>
    <w:rsid w:val="58D7353E"/>
    <w:rsid w:val="61912B06"/>
    <w:rsid w:val="6365572A"/>
    <w:rsid w:val="6CAD0DE0"/>
    <w:rsid w:val="6D9F2AB4"/>
    <w:rsid w:val="72CE5FD0"/>
    <w:rsid w:val="7855070D"/>
    <w:rsid w:val="7B6F35D7"/>
    <w:rsid w:val="7D3C4739"/>
    <w:rsid w:val="7F5209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qFormat/>
    <w:uiPriority w:val="99"/>
    <w:pPr>
      <w:spacing w:before="240" w:after="60"/>
      <w:jc w:val="center"/>
      <w:outlineLvl w:val="0"/>
    </w:pPr>
    <w:rPr>
      <w:rFonts w:asciiTheme="majorHAnsi" w:hAnsiTheme="majorHAnsi" w:cstheme="majorBidi"/>
      <w:b/>
      <w:bCs/>
      <w:sz w:val="32"/>
      <w:szCs w:val="32"/>
    </w:rPr>
  </w:style>
  <w:style w:type="paragraph" w:styleId="3">
    <w:name w:val="Body Text"/>
    <w:basedOn w:val="1"/>
    <w:link w:val="12"/>
    <w:qFormat/>
    <w:uiPriority w:val="0"/>
    <w:pPr>
      <w:spacing w:after="120"/>
    </w:pPr>
    <w:rPr>
      <w:rFonts w:asciiTheme="minorHAnsi" w:hAnsiTheme="minorHAnsi" w:cstheme="minorBidi"/>
      <w:szCs w:val="24"/>
    </w:rPr>
  </w:style>
  <w:style w:type="paragraph" w:styleId="4">
    <w:name w:val="Balloon Text"/>
    <w:basedOn w:val="1"/>
    <w:link w:val="14"/>
    <w:semiHidden/>
    <w:unhideWhenUsed/>
    <w:qFormat/>
    <w:uiPriority w:val="99"/>
    <w:rPr>
      <w:sz w:val="18"/>
      <w:szCs w:val="18"/>
    </w:rPr>
  </w:style>
  <w:style w:type="paragraph" w:styleId="5">
    <w:name w:val="footer"/>
    <w:basedOn w:val="1"/>
    <w:link w:val="10"/>
    <w:unhideWhenUsed/>
    <w:qFormat/>
    <w:uiPriority w:val="99"/>
    <w:pPr>
      <w:tabs>
        <w:tab w:val="center" w:pos="4153"/>
        <w:tab w:val="right" w:pos="8306"/>
      </w:tabs>
      <w:snapToGrid w:val="0"/>
      <w:jc w:val="left"/>
    </w:pPr>
    <w:rPr>
      <w:sz w:val="18"/>
      <w:szCs w:val="18"/>
    </w:rPr>
  </w:style>
  <w:style w:type="paragraph" w:styleId="6">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页眉 字符"/>
    <w:basedOn w:val="8"/>
    <w:link w:val="6"/>
    <w:qFormat/>
    <w:uiPriority w:val="99"/>
    <w:rPr>
      <w:rFonts w:ascii="Calibri" w:hAnsi="Calibri" w:eastAsia="宋体" w:cs="Times New Roman"/>
      <w:sz w:val="18"/>
      <w:szCs w:val="18"/>
    </w:rPr>
  </w:style>
  <w:style w:type="character" w:customStyle="1" w:styleId="10">
    <w:name w:val="页脚 字符"/>
    <w:basedOn w:val="8"/>
    <w:link w:val="5"/>
    <w:qFormat/>
    <w:uiPriority w:val="99"/>
    <w:rPr>
      <w:rFonts w:ascii="Calibri" w:hAnsi="Calibri" w:eastAsia="宋体" w:cs="Times New Roman"/>
      <w:sz w:val="18"/>
      <w:szCs w:val="18"/>
    </w:rPr>
  </w:style>
  <w:style w:type="paragraph" w:styleId="11">
    <w:name w:val="List Paragraph"/>
    <w:basedOn w:val="1"/>
    <w:qFormat/>
    <w:uiPriority w:val="34"/>
    <w:pPr>
      <w:ind w:firstLine="420" w:firstLineChars="200"/>
    </w:pPr>
  </w:style>
  <w:style w:type="character" w:customStyle="1" w:styleId="12">
    <w:name w:val="正文文本 字符"/>
    <w:link w:val="3"/>
    <w:qFormat/>
    <w:locked/>
    <w:uiPriority w:val="0"/>
    <w:rPr>
      <w:rFonts w:eastAsia="宋体"/>
      <w:szCs w:val="24"/>
    </w:rPr>
  </w:style>
  <w:style w:type="character" w:customStyle="1" w:styleId="13">
    <w:name w:val="正文文本 Char1"/>
    <w:basedOn w:val="8"/>
    <w:semiHidden/>
    <w:qFormat/>
    <w:uiPriority w:val="99"/>
    <w:rPr>
      <w:rFonts w:ascii="Calibri" w:hAnsi="Calibri" w:eastAsia="宋体" w:cs="Times New Roman"/>
    </w:rPr>
  </w:style>
  <w:style w:type="character" w:customStyle="1" w:styleId="14">
    <w:name w:val="批注框文本 字符"/>
    <w:basedOn w:val="8"/>
    <w:link w:val="4"/>
    <w:semiHidden/>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6FFC4-1C55-4E6C-B23C-0399E59A304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Pages>
  <Words>8322</Words>
  <Characters>8637</Characters>
  <Lines>47</Lines>
  <Paragraphs>13</Paragraphs>
  <TotalTime>23</TotalTime>
  <ScaleCrop>false</ScaleCrop>
  <LinksUpToDate>false</LinksUpToDate>
  <CharactersWithSpaces>8726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2021-04-21T03:23:00Z</dcterms:created>
  <dc:creator>NTKO</dc:creator>
  <cp:lastModifiedBy>WPS_1494981489</cp:lastModifiedBy>
  <cp:lastPrinted>2023-01-10T01:42:00Z</cp:lastPrinted>
  <dcterms:modified xsi:type="dcterms:W3CDTF">2024-03-27T09:01:02Z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A2E9866BA7E84C58A4B8733D955BF19B_12</vt:lpwstr>
  </property>
</Properties>
</file>