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jc w:val="center"/>
        <w:rPr>
          <w:rFonts w:ascii="等线" w:hAnsi="等线" w:eastAsia="等线" w:cs="仿宋_GB2312"/>
          <w:b/>
          <w:color w:val="000000" w:themeColor="text1"/>
          <w:sz w:val="48"/>
          <w:szCs w:val="48"/>
        </w:rPr>
      </w:pPr>
      <w:bookmarkStart w:id="0" w:name="OLE_LINK3"/>
      <w:r>
        <w:rPr>
          <w:rFonts w:hint="eastAsia" w:ascii="等线" w:hAnsi="等线" w:eastAsia="等线" w:cs="仿宋_GB2312"/>
          <w:b/>
          <w:color w:val="000000" w:themeColor="text1"/>
          <w:sz w:val="48"/>
          <w:szCs w:val="48"/>
        </w:rPr>
        <w:t>竞  价  清  单</w:t>
      </w:r>
    </w:p>
    <w:p>
      <w:pPr>
        <w:autoSpaceDE w:val="0"/>
        <w:autoSpaceDN w:val="0"/>
        <w:adjustRightInd w:val="0"/>
        <w:snapToGrid w:val="0"/>
        <w:spacing w:beforeLines="50"/>
        <w:jc w:val="center"/>
        <w:rPr>
          <w:rFonts w:ascii="等线" w:hAnsi="等线" w:eastAsia="等线" w:cs="仿宋_GB2312"/>
          <w:b/>
          <w:color w:val="000000" w:themeColor="text1"/>
          <w:szCs w:val="21"/>
        </w:rPr>
      </w:pPr>
      <w:r>
        <w:rPr>
          <w:rFonts w:hint="eastAsia" w:ascii="等线" w:hAnsi="等线" w:eastAsia="等线" w:cs="仿宋_GB2312"/>
          <w:b/>
          <w:color w:val="000000" w:themeColor="text1"/>
          <w:szCs w:val="21"/>
        </w:rPr>
        <w:t>【2023年第十批保障房配套商业招租】</w:t>
      </w:r>
    </w:p>
    <w:p>
      <w:pPr>
        <w:autoSpaceDE w:val="0"/>
        <w:autoSpaceDN w:val="0"/>
        <w:rPr>
          <w:rFonts w:hint="eastAsia" w:ascii="宋体" w:hAnsi="宋体" w:cs="宋体" w:eastAsiaTheme="minorEastAsia"/>
          <w:b/>
          <w:color w:val="000000"/>
          <w:sz w:val="24"/>
          <w:szCs w:val="24"/>
        </w:rPr>
      </w:pPr>
    </w:p>
    <w:tbl>
      <w:tblPr>
        <w:tblStyle w:val="7"/>
        <w:tblW w:w="6086" w:type="pct"/>
        <w:jc w:val="center"/>
        <w:tblLayout w:type="fixed"/>
        <w:tblCellMar>
          <w:top w:w="0" w:type="dxa"/>
          <w:left w:w="108" w:type="dxa"/>
          <w:bottom w:w="0" w:type="dxa"/>
          <w:right w:w="108" w:type="dxa"/>
        </w:tblCellMar>
      </w:tblPr>
      <w:tblGrid>
        <w:gridCol w:w="1049"/>
        <w:gridCol w:w="643"/>
        <w:gridCol w:w="1831"/>
        <w:gridCol w:w="1047"/>
        <w:gridCol w:w="1017"/>
        <w:gridCol w:w="1017"/>
        <w:gridCol w:w="767"/>
        <w:gridCol w:w="933"/>
        <w:gridCol w:w="1217"/>
        <w:gridCol w:w="1783"/>
      </w:tblGrid>
      <w:tr>
        <w:tblPrEx>
          <w:tblCellMar>
            <w:top w:w="0" w:type="dxa"/>
            <w:left w:w="108" w:type="dxa"/>
            <w:bottom w:w="0" w:type="dxa"/>
            <w:right w:w="108" w:type="dxa"/>
          </w:tblCellMar>
        </w:tblPrEx>
        <w:trPr>
          <w:trHeight w:val="900" w:hRule="atLeast"/>
          <w:tblHeader/>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所在社区</w:t>
            </w:r>
          </w:p>
        </w:tc>
        <w:tc>
          <w:tcPr>
            <w:tcW w:w="28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标的序号</w:t>
            </w:r>
          </w:p>
        </w:tc>
        <w:tc>
          <w:tcPr>
            <w:tcW w:w="8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待租标的</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建筑面积</w:t>
            </w:r>
            <w:r>
              <w:rPr>
                <w:rFonts w:hint="eastAsia" w:ascii="宋体" w:hAnsi="宋体" w:cs="宋体"/>
                <w:b/>
                <w:bCs/>
                <w:color w:val="000000"/>
                <w:kern w:val="0"/>
                <w:sz w:val="18"/>
                <w:szCs w:val="18"/>
              </w:rPr>
              <w:br w:type="textWrapping"/>
            </w:r>
            <w:r>
              <w:rPr>
                <w:rFonts w:hint="eastAsia" w:ascii="宋体" w:hAnsi="宋体" w:cs="宋体"/>
                <w:b/>
                <w:bCs/>
                <w:color w:val="000000"/>
                <w:kern w:val="0"/>
                <w:sz w:val="18"/>
                <w:szCs w:val="18"/>
              </w:rPr>
              <w:t>(平方米)</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b/>
                <w:bCs/>
                <w:color w:val="000000"/>
                <w:kern w:val="0"/>
                <w:sz w:val="18"/>
                <w:szCs w:val="18"/>
                <w:lang w:val="en-US" w:eastAsia="zh-CN"/>
              </w:rPr>
            </w:pPr>
            <w:r>
              <w:rPr>
                <w:rFonts w:hint="eastAsia" w:ascii="宋体" w:hAnsi="宋体" w:cs="宋体"/>
                <w:b/>
                <w:bCs/>
                <w:color w:val="000000"/>
                <w:kern w:val="0"/>
                <w:sz w:val="18"/>
                <w:szCs w:val="18"/>
                <w:lang w:val="en-US" w:eastAsia="zh-CN"/>
              </w:rPr>
              <w:t>免租期</w:t>
            </w:r>
          </w:p>
          <w:p>
            <w:pPr>
              <w:widowControl/>
              <w:jc w:val="center"/>
              <w:rPr>
                <w:rFonts w:hint="eastAsia" w:ascii="宋体" w:hAnsi="宋体" w:cs="宋体"/>
                <w:b/>
                <w:bCs/>
                <w:color w:val="000000"/>
                <w:kern w:val="0"/>
                <w:sz w:val="18"/>
                <w:szCs w:val="18"/>
                <w:lang w:val="en-US" w:eastAsia="zh-CN"/>
              </w:rPr>
            </w:pPr>
            <w:r>
              <w:rPr>
                <w:rFonts w:hint="eastAsia" w:ascii="宋体" w:hAnsi="宋体" w:cs="宋体"/>
                <w:b/>
                <w:bCs/>
                <w:color w:val="000000"/>
                <w:kern w:val="0"/>
                <w:sz w:val="18"/>
                <w:szCs w:val="18"/>
                <w:lang w:val="en-US" w:eastAsia="zh-CN"/>
              </w:rPr>
              <w:t>（月）</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租金底价</w:t>
            </w:r>
            <w:r>
              <w:rPr>
                <w:rFonts w:hint="eastAsia" w:ascii="宋体" w:hAnsi="宋体" w:cs="宋体"/>
                <w:b/>
                <w:bCs/>
                <w:color w:val="000000"/>
                <w:kern w:val="0"/>
                <w:sz w:val="18"/>
                <w:szCs w:val="18"/>
              </w:rPr>
              <w:br w:type="textWrapping"/>
            </w:r>
            <w:r>
              <w:rPr>
                <w:rFonts w:hint="eastAsia" w:ascii="宋体" w:hAnsi="宋体" w:cs="宋体"/>
                <w:b/>
                <w:bCs/>
                <w:color w:val="000000"/>
                <w:kern w:val="0"/>
                <w:sz w:val="18"/>
                <w:szCs w:val="18"/>
              </w:rPr>
              <w:t>(元/月)</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保证金         (元)</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加价幅度</w:t>
            </w:r>
            <w:r>
              <w:rPr>
                <w:rFonts w:hint="eastAsia" w:ascii="宋体" w:hAnsi="宋体" w:cs="宋体"/>
                <w:b/>
                <w:bCs/>
                <w:color w:val="000000"/>
                <w:kern w:val="0"/>
                <w:sz w:val="18"/>
                <w:szCs w:val="18"/>
              </w:rPr>
              <w:br w:type="textWrapping"/>
            </w:r>
            <w:r>
              <w:rPr>
                <w:rFonts w:hint="eastAsia" w:ascii="宋体" w:hAnsi="宋体" w:cs="宋体"/>
                <w:b/>
                <w:bCs/>
                <w:color w:val="000000"/>
                <w:kern w:val="0"/>
                <w:sz w:val="18"/>
                <w:szCs w:val="18"/>
              </w:rPr>
              <w:t>(元)</w:t>
            </w:r>
          </w:p>
        </w:tc>
        <w:tc>
          <w:tcPr>
            <w:tcW w:w="53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备注</w:t>
            </w:r>
          </w:p>
        </w:tc>
        <w:tc>
          <w:tcPr>
            <w:tcW w:w="78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租赁业态</w:t>
            </w:r>
          </w:p>
        </w:tc>
      </w:tr>
      <w:tr>
        <w:tblPrEx>
          <w:tblCellMar>
            <w:top w:w="0" w:type="dxa"/>
            <w:left w:w="108" w:type="dxa"/>
            <w:bottom w:w="0" w:type="dxa"/>
            <w:right w:w="108" w:type="dxa"/>
          </w:tblCellMar>
        </w:tblPrEx>
        <w:trPr>
          <w:trHeight w:val="680" w:hRule="atLeast"/>
          <w:jc w:val="center"/>
        </w:trPr>
        <w:tc>
          <w:tcPr>
            <w:tcW w:w="464"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祥平地铁社区一期</w:t>
            </w: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祥和一里31号104</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345.13</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4487</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26000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商业店面，仅允许经营符合国家法律法规规定的行业；完全符合消防、环保等相关法律法规要求的行业；不会产生噪音扰民的行业；不会使用明火（原设计已保有且出租方同意的除外）或会产生油烟扰民的餐饮行业；不得从事废品回收行业、活禽贮存及宰杀相关业务</w:t>
            </w: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祥和一里31号102</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308.11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4005</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24000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3</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祥和一里43号101</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133.8</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3077</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18000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黎安居住区</w:t>
            </w: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4</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黎安一里6-110</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33.38</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668</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4000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黎安一里8-116</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151.85</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2430</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14000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洋唐居住区三期A03</w:t>
            </w: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6</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洪前南里29号113</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53.99</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2322</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13000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新店地铁社区一期</w:t>
            </w: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7</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宋洋一里21号102</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28.41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1989</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11000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新店地铁社区林前综合体</w:t>
            </w: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8</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宋洋二里23号111</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61.78</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4325</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25000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9</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宋洋二里25号104</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86.43</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5964</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35000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宋洋二里25号106</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61.05</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4274</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25000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11</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宋洋二里25号108</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147.34</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10019</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60000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200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新店地铁社区二期</w:t>
            </w: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12</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东界东里28号103</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16.47</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1318</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7000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13</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东界东里28号104</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25.36</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1572</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9000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14</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东界东里28号107</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27.78</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1722</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15</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东界东里28号108</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27.78</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1722</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10000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r>
        <w:tblPrEx>
          <w:tblCellMar>
            <w:top w:w="0" w:type="dxa"/>
            <w:left w:w="108" w:type="dxa"/>
            <w:bottom w:w="0" w:type="dxa"/>
            <w:right w:w="108" w:type="dxa"/>
          </w:tblCellMar>
        </w:tblPrEx>
        <w:trPr>
          <w:trHeight w:val="68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16</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东界东里31号107</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37.72</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lang w:val="en-US" w:eastAsia="zh-CN"/>
              </w:rPr>
              <w:t>1</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2339</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14000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w:t>
            </w:r>
          </w:p>
        </w:tc>
        <w:tc>
          <w:tcPr>
            <w:tcW w:w="538"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788"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r>
        <w:tblPrEx>
          <w:tblCellMar>
            <w:top w:w="0" w:type="dxa"/>
            <w:left w:w="108" w:type="dxa"/>
            <w:bottom w:w="0" w:type="dxa"/>
            <w:right w:w="108" w:type="dxa"/>
          </w:tblCellMar>
        </w:tblPrEx>
        <w:trPr>
          <w:trHeight w:val="2728" w:hRule="atLeast"/>
          <w:jc w:val="center"/>
        </w:trPr>
        <w:tc>
          <w:tcPr>
            <w:tcW w:w="464"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围里公寓</w:t>
            </w: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17</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县后东一里20号一楼</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1829.5</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73180</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430000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1500</w:t>
            </w:r>
          </w:p>
        </w:tc>
        <w:tc>
          <w:tcPr>
            <w:tcW w:w="538"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标的序号17：县后东一里20号一楼，标的序号18：县后东一里20号二楼，该两处标的附属设施设备（包括但不限于消防设施、配电房等），为原承租户遗留，不属于出租方资产，中标人因生产经营需要使用上述设施设备的，请中标人自行完善相关手续，向属地物业联系报备并承担相关费用及维修维护责任，出租方概不负责。</w:t>
            </w:r>
          </w:p>
        </w:tc>
        <w:tc>
          <w:tcPr>
            <w:tcW w:w="788"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商业店面，仅允许经营符合国家法律法规规定的行业；完全符合消防、环保等相关法律法规要求的行业；不会产生噪音扰民的行业；不会使用明火（原设计已保有且出租方同意的除外）或会产生油烟扰民的餐饮行业；不得从事废品回收行业、活禽贮存及宰杀相关业务</w:t>
            </w:r>
          </w:p>
        </w:tc>
      </w:tr>
      <w:tr>
        <w:tblPrEx>
          <w:tblCellMar>
            <w:top w:w="0" w:type="dxa"/>
            <w:left w:w="108" w:type="dxa"/>
            <w:bottom w:w="0" w:type="dxa"/>
            <w:right w:w="108" w:type="dxa"/>
          </w:tblCellMar>
        </w:tblPrEx>
        <w:trPr>
          <w:trHeight w:val="2810" w:hRule="atLeast"/>
          <w:jc w:val="center"/>
        </w:trPr>
        <w:tc>
          <w:tcPr>
            <w:tcW w:w="4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84"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18</w:t>
            </w:r>
          </w:p>
        </w:tc>
        <w:tc>
          <w:tcPr>
            <w:tcW w:w="810"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县后东一里20号二楼</w:t>
            </w:r>
          </w:p>
        </w:tc>
        <w:tc>
          <w:tcPr>
            <w:tcW w:w="463"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1650.67</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w:t>
            </w:r>
          </w:p>
        </w:tc>
        <w:tc>
          <w:tcPr>
            <w:tcW w:w="44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29712</w:t>
            </w:r>
          </w:p>
        </w:tc>
        <w:tc>
          <w:tcPr>
            <w:tcW w:w="339"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170000</w:t>
            </w:r>
          </w:p>
        </w:tc>
        <w:tc>
          <w:tcPr>
            <w:tcW w:w="412" w:type="pct"/>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500</w:t>
            </w:r>
          </w:p>
        </w:tc>
        <w:tc>
          <w:tcPr>
            <w:tcW w:w="538"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c>
          <w:tcPr>
            <w:tcW w:w="788"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bl>
    <w:p>
      <w:pPr>
        <w:widowControl/>
        <w:ind w:left="-210" w:leftChars="-100" w:right="-210" w:rightChars="-100"/>
        <w:jc w:val="left"/>
        <w:rPr>
          <w:rFonts w:hint="eastAsia" w:ascii="宋体" w:hAnsi="宋体" w:cs="宋体"/>
          <w:b/>
          <w:color w:val="000000"/>
          <w:kern w:val="0"/>
          <w:sz w:val="22"/>
        </w:rPr>
      </w:pP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备注：</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eastAsiaTheme="minorEastAsia"/>
          <w:b/>
          <w:bCs/>
          <w:sz w:val="18"/>
          <w:szCs w:val="18"/>
        </w:rPr>
        <w:t>1、租赁期限:</w:t>
      </w: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上述标的租赁期限均为五年。</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eastAsiaTheme="minorEastAsia"/>
          <w:b/>
          <w:bCs/>
          <w:sz w:val="18"/>
          <w:szCs w:val="18"/>
        </w:rPr>
        <w:t>2、租金收取方式:</w:t>
      </w:r>
    </w:p>
    <w:p>
      <w:pPr>
        <w:autoSpaceDE w:val="0"/>
        <w:autoSpaceDN w:val="0"/>
        <w:spacing w:line="240" w:lineRule="auto"/>
        <w:rPr>
          <w:rFonts w:hint="eastAsia" w:cs="Times New Roman" w:asciiTheme="minorEastAsia" w:hAnsiTheme="minorEastAsia" w:eastAsiaTheme="minorEastAsia"/>
          <w:sz w:val="18"/>
          <w:szCs w:val="18"/>
          <w:lang w:eastAsia="zh-CN"/>
        </w:rPr>
      </w:pPr>
      <w:r>
        <w:rPr>
          <w:rFonts w:hint="eastAsia" w:cs="Times New Roman" w:asciiTheme="minorEastAsia" w:hAnsiTheme="minorEastAsia" w:eastAsiaTheme="minorEastAsia"/>
          <w:sz w:val="18"/>
          <w:szCs w:val="18"/>
        </w:rPr>
        <w:t>自第二个计租年度起，租金在实际中标价的基础上逐年递增5%</w:t>
      </w:r>
      <w:r>
        <w:rPr>
          <w:rFonts w:hint="eastAsia" w:cs="Times New Roman" w:asciiTheme="minorEastAsia" w:hAnsiTheme="minorEastAsia" w:eastAsiaTheme="minorEastAsia"/>
          <w:sz w:val="18"/>
          <w:szCs w:val="18"/>
          <w:lang w:eastAsia="zh-CN"/>
        </w:rPr>
        <w:t>，</w:t>
      </w:r>
      <w:r>
        <w:rPr>
          <w:rFonts w:hint="eastAsia" w:cs="Times New Roman" w:asciiTheme="minorEastAsia" w:hAnsiTheme="minorEastAsia" w:eastAsiaTheme="minorEastAsia"/>
          <w:sz w:val="18"/>
          <w:szCs w:val="18"/>
          <w:lang w:val="en-US" w:eastAsia="zh-CN"/>
        </w:rPr>
        <w:t>免租期详见上述清单</w:t>
      </w:r>
      <w:r>
        <w:rPr>
          <w:rFonts w:hint="eastAsia" w:cs="Times New Roman" w:asciiTheme="minorEastAsia" w:hAnsiTheme="minorEastAsia" w:eastAsiaTheme="minorEastAsia"/>
          <w:sz w:val="18"/>
          <w:szCs w:val="18"/>
          <w:lang w:eastAsia="zh-CN"/>
        </w:rPr>
        <w:t>。免租期将通过在装修培育期中进行租金扣减并分摊方式予以实现。例如1个月免租期，将在三个月装修培育期中分摊实收两个月租金，以此类推，具体以招标人后续拟定的租金明细表为准。装修培育期内，物业管理服务费、水费、电费及其它费用正常计收。若因承租人原因致使合同提前解除或终止的，招标人有权要求承租人按如下标准补足装修培育期间租金差额：计算公式为：(剩余合同未履行期间/合同总期间)×（装修培育期结束后第一期的月租金-装修培育期月租金）×装修培育期（月）。承租人须在合同解除或终止之日起3日内将相应的租金差额支付给招标人。</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b/>
          <w:bCs/>
          <w:sz w:val="18"/>
          <w:szCs w:val="18"/>
          <w:lang w:val="en-US" w:eastAsia="zh-CN"/>
        </w:rPr>
        <w:t>3</w:t>
      </w:r>
      <w:r>
        <w:rPr>
          <w:rFonts w:hint="eastAsia" w:cs="Times New Roman" w:asciiTheme="minorEastAsia" w:hAnsiTheme="minorEastAsia" w:eastAsiaTheme="minorEastAsia"/>
          <w:b/>
          <w:bCs/>
          <w:sz w:val="18"/>
          <w:szCs w:val="18"/>
          <w:lang w:val="en-US" w:eastAsia="zh-CN"/>
        </w:rPr>
        <w:t>、</w:t>
      </w:r>
      <w:r>
        <w:rPr>
          <w:rFonts w:hint="eastAsia" w:cs="Times New Roman" w:asciiTheme="minorEastAsia" w:hAnsiTheme="minorEastAsia" w:eastAsiaTheme="minorEastAsia"/>
          <w:b/>
          <w:bCs/>
          <w:sz w:val="18"/>
          <w:szCs w:val="18"/>
        </w:rPr>
        <w:t>特别提醒：</w:t>
      </w: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（1）物业费与公维金请自行到各属地社区咨询，且以属地物业实际缴收为准。</w:t>
      </w: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（2）</w:t>
      </w:r>
      <w:r>
        <w:rPr>
          <w:rFonts w:hint="eastAsia" w:cs="Times New Roman" w:asciiTheme="minorEastAsia" w:hAnsiTheme="minorEastAsia" w:eastAsiaTheme="minorEastAsia"/>
          <w:sz w:val="18"/>
          <w:szCs w:val="18"/>
          <w:lang w:eastAsia="zh-CN"/>
        </w:rPr>
        <w:t>竞标人</w:t>
      </w:r>
      <w:bookmarkStart w:id="1" w:name="_GoBack"/>
      <w:bookmarkEnd w:id="1"/>
      <w:r>
        <w:rPr>
          <w:rFonts w:hint="eastAsia" w:cs="Times New Roman" w:asciiTheme="minorEastAsia" w:hAnsiTheme="minorEastAsia" w:eastAsiaTheme="minorEastAsia"/>
          <w:sz w:val="18"/>
          <w:szCs w:val="18"/>
        </w:rPr>
        <w:t>应按竞价公告规定时间提前预约、参加看样，对租赁物周边环境是否允许停放车辆、从事洗车美容等汽修业态或存放生产物资、物料的，需自行考量并向物业服务企业和有关管理部门提前咨询了解，否则因此造成的相关损失均由承租人自行承担。</w:t>
      </w:r>
    </w:p>
    <w:p>
      <w:pPr>
        <w:autoSpaceDE w:val="0"/>
        <w:autoSpaceDN w:val="0"/>
        <w:spacing w:line="240" w:lineRule="auto"/>
        <w:rPr>
          <w:rFonts w:hint="eastAsia" w:cs="Times New Roman" w:asciiTheme="minorEastAsia" w:hAnsiTheme="minorEastAsia" w:eastAsiaTheme="minorEastAsia"/>
          <w:sz w:val="18"/>
          <w:szCs w:val="18"/>
          <w:lang w:eastAsia="zh-CN"/>
        </w:rPr>
      </w:pPr>
      <w:r>
        <w:rPr>
          <w:rFonts w:hint="eastAsia" w:cs="Times New Roman" w:asciiTheme="minorEastAsia" w:hAnsiTheme="minorEastAsia" w:eastAsiaTheme="minorEastAsia"/>
          <w:sz w:val="18"/>
          <w:szCs w:val="18"/>
          <w:lang w:eastAsia="zh-CN"/>
        </w:rPr>
        <w:t>（</w:t>
      </w:r>
      <w:r>
        <w:rPr>
          <w:rFonts w:hint="eastAsia" w:cs="Times New Roman" w:asciiTheme="minorEastAsia" w:hAnsiTheme="minorEastAsia" w:eastAsiaTheme="minorEastAsia"/>
          <w:sz w:val="18"/>
          <w:szCs w:val="18"/>
          <w:lang w:val="en-US" w:eastAsia="zh-CN"/>
        </w:rPr>
        <w:t>3</w:t>
      </w:r>
      <w:r>
        <w:rPr>
          <w:rFonts w:hint="eastAsia" w:cs="Times New Roman" w:asciiTheme="minorEastAsia" w:hAnsiTheme="minorEastAsia" w:eastAsiaTheme="minorEastAsia"/>
          <w:sz w:val="18"/>
          <w:szCs w:val="18"/>
          <w:lang w:eastAsia="zh-CN"/>
        </w:rPr>
        <w:t>）竞标人拟对租赁房屋有装修（改造）意向，应在竞标前自行与属地城管部门联系了解相关情况，在取得城管同意后方可经营/施工，若未事先与属地城管部门联系了解相关情况导致造成相关损失（包括但不限于：执法单位罚款、要求恢复原状等费用）由承租户自行承担，我司概不负责。</w:t>
      </w:r>
    </w:p>
    <w:p>
      <w:pPr>
        <w:autoSpaceDE w:val="0"/>
        <w:autoSpaceDN w:val="0"/>
        <w:spacing w:line="240" w:lineRule="auto"/>
        <w:rPr>
          <w:rFonts w:hint="eastAsia" w:cs="Times New Roman" w:asciiTheme="minorEastAsia" w:hAnsiTheme="minorEastAsia" w:eastAsiaTheme="minorEastAsia"/>
          <w:sz w:val="18"/>
          <w:szCs w:val="18"/>
          <w:lang w:eastAsia="zh-CN"/>
        </w:rPr>
      </w:pPr>
      <w:r>
        <w:rPr>
          <w:rFonts w:hint="eastAsia" w:cs="Times New Roman" w:asciiTheme="minorEastAsia" w:hAnsiTheme="minorEastAsia"/>
          <w:sz w:val="18"/>
          <w:szCs w:val="18"/>
          <w:lang w:eastAsia="zh-CN"/>
        </w:rPr>
        <w:t>（</w:t>
      </w:r>
      <w:r>
        <w:rPr>
          <w:rFonts w:hint="eastAsia" w:cs="Times New Roman" w:asciiTheme="minorEastAsia" w:hAnsiTheme="minorEastAsia"/>
          <w:sz w:val="18"/>
          <w:szCs w:val="18"/>
          <w:lang w:val="en-US" w:eastAsia="zh-CN"/>
        </w:rPr>
        <w:t>4</w:t>
      </w:r>
      <w:r>
        <w:rPr>
          <w:rFonts w:hint="eastAsia" w:cs="Times New Roman" w:asciiTheme="minorEastAsia" w:hAnsiTheme="minorEastAsia"/>
          <w:sz w:val="18"/>
          <w:szCs w:val="18"/>
          <w:lang w:eastAsia="zh-CN"/>
        </w:rPr>
        <w:t>）</w:t>
      </w:r>
      <w:r>
        <w:rPr>
          <w:rFonts w:hint="eastAsia" w:cs="Times New Roman" w:asciiTheme="minorEastAsia" w:hAnsiTheme="minorEastAsia" w:eastAsiaTheme="minorEastAsia"/>
          <w:sz w:val="18"/>
          <w:szCs w:val="18"/>
        </w:rPr>
        <w:t>如项目存在店面共用设施设备（包括但不限于隔油池、电梯等），承租人因生产经营需要使用上述设施设备的，请自行与属地物业联系报备并承担相关费用。</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b/>
          <w:bCs/>
          <w:sz w:val="18"/>
          <w:szCs w:val="18"/>
          <w:lang w:val="en-US" w:eastAsia="zh-CN"/>
        </w:rPr>
        <w:t>4</w:t>
      </w:r>
      <w:r>
        <w:rPr>
          <w:rFonts w:hint="eastAsia" w:cs="Times New Roman" w:asciiTheme="minorEastAsia" w:hAnsiTheme="minorEastAsia" w:eastAsiaTheme="minorEastAsia"/>
          <w:b/>
          <w:bCs/>
          <w:sz w:val="18"/>
          <w:szCs w:val="18"/>
          <w:lang w:val="en-US" w:eastAsia="zh-CN"/>
        </w:rPr>
        <w:t>、</w:t>
      </w:r>
      <w:r>
        <w:rPr>
          <w:rFonts w:hint="eastAsia" w:cs="Times New Roman" w:asciiTheme="minorEastAsia" w:hAnsiTheme="minorEastAsia" w:eastAsiaTheme="minorEastAsia"/>
          <w:b/>
          <w:bCs/>
          <w:sz w:val="18"/>
          <w:szCs w:val="18"/>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我司将视为严重违反《竞价公告》及《竞价协议书》相关约定，可采取包括但不限于取消最终中标人资格、不予返还竞价保证金等措施。</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b/>
          <w:bCs/>
          <w:sz w:val="18"/>
          <w:szCs w:val="18"/>
          <w:lang w:val="en-US" w:eastAsia="zh-CN"/>
        </w:rPr>
        <w:t>5</w:t>
      </w:r>
      <w:r>
        <w:rPr>
          <w:rFonts w:hint="eastAsia" w:cs="Times New Roman" w:asciiTheme="minorEastAsia" w:hAnsiTheme="minorEastAsia" w:eastAsiaTheme="minorEastAsia"/>
          <w:b/>
          <w:bCs/>
          <w:sz w:val="18"/>
          <w:szCs w:val="18"/>
        </w:rPr>
        <w:t>、竞价清单中店面备注内容为温馨提醒，不作为店面所有瑕疵的展示。竞价人须自行对租赁房屋及其附属设备设施的现状、周边环境、物业管理情况等进行现场察看及充分了解。竞价人已经通过查阅文件、现场查看标的知悉上述瑕疵、缺陷和风险，标的出现该等瑕疵、缺陷或风险的，招标人不承担任何责任，竞价人成为最终中标人后不得因此要求解除本合同，且无权要求招标人对此采取任何补救措施、支付任何费用或补偿款项或承担任何损害赔偿责任(侵权责任)，也无权要求减少、降低成交价款或拒绝支付成交价款。</w:t>
      </w:r>
    </w:p>
    <w:p>
      <w:pPr>
        <w:widowControl/>
        <w:ind w:left="-840" w:leftChars="-400" w:right="-840" w:rightChars="-400"/>
        <w:jc w:val="left"/>
        <w:rPr>
          <w:rFonts w:hint="eastAsia" w:ascii="宋体" w:hAnsi="宋体" w:cs="宋体"/>
          <w:color w:val="000000"/>
          <w:kern w:val="0"/>
          <w:sz w:val="22"/>
        </w:rPr>
      </w:pPr>
    </w:p>
    <w:p>
      <w:pPr>
        <w:widowControl/>
        <w:ind w:left="-840" w:leftChars="-400" w:right="-840" w:rightChars="-400"/>
        <w:jc w:val="left"/>
        <w:rPr>
          <w:rFonts w:hint="eastAsia" w:ascii="宋体" w:hAnsi="宋体" w:cs="宋体"/>
          <w:color w:val="000000"/>
          <w:kern w:val="0"/>
          <w:sz w:val="22"/>
        </w:rPr>
      </w:pPr>
    </w:p>
    <w:p>
      <w:pPr>
        <w:widowControl/>
        <w:ind w:left="-840" w:leftChars="-400" w:right="-840" w:rightChars="-400"/>
        <w:jc w:val="left"/>
        <w:rPr>
          <w:rFonts w:hint="eastAsia" w:ascii="宋体" w:hAnsi="宋体" w:cs="宋体"/>
          <w:color w:val="000000"/>
          <w:kern w:val="0"/>
          <w:sz w:val="22"/>
        </w:rPr>
      </w:pPr>
    </w:p>
    <w:p>
      <w:pPr>
        <w:widowControl/>
        <w:ind w:left="-840" w:leftChars="-400" w:right="-840" w:rightChars="-400"/>
        <w:jc w:val="left"/>
        <w:rPr>
          <w:rFonts w:hint="eastAsia" w:ascii="宋体" w:hAnsi="宋体" w:cs="宋体"/>
          <w:color w:val="000000"/>
          <w:kern w:val="0"/>
          <w:sz w:val="22"/>
        </w:rPr>
      </w:pPr>
    </w:p>
    <w:bookmarkEnd w:id="0"/>
    <w:p>
      <w:pPr>
        <w:widowControl/>
        <w:ind w:left="-840" w:leftChars="-400" w:right="-840" w:rightChars="-400"/>
        <w:jc w:val="left"/>
        <w:rPr>
          <w:rFonts w:hint="eastAsia" w:ascii="宋体" w:hAnsi="宋体" w:cs="宋体"/>
          <w:color w:val="000000"/>
          <w:kern w:val="0"/>
          <w:sz w:val="22"/>
        </w:rPr>
      </w:pPr>
    </w:p>
    <w:sectPr>
      <w:headerReference r:id="rId3" w:type="default"/>
      <w:footerReference r:id="rId4" w:type="default"/>
      <w:pgSz w:w="11906" w:h="16838"/>
      <w:pgMar w:top="1247" w:right="1417" w:bottom="1134" w:left="1417" w:header="851" w:footer="8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30" o:spid="_x0000_s1030" o:spt="202" type="#_x0000_t202" style="position:absolute;left:0pt;margin-top:0pt;height:10.15pt;width:56.45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v:path/>
          <v:fill on="f" focussize="0,0"/>
          <v:stroke on="f" weight="0.5pt" joinstyle="miter"/>
          <v:imagedata o:title=""/>
          <o:lock v:ext="edit"/>
          <v:textbox inset="0mm,0mm,0mm,0mm" style="mso-fit-shape-to-text:t;">
            <w:txbxContent>
              <w:p>
                <w:pPr>
                  <w:pStyle w:val="4"/>
                  <w:rPr>
                    <w:rFonts w:ascii="等线" w:hAnsi="等线" w:eastAsia="等线"/>
                    <w:sz w:val="15"/>
                    <w:szCs w:val="15"/>
                  </w:rPr>
                </w:pPr>
                <w:r>
                  <w:rPr>
                    <w:rFonts w:hint="eastAsia" w:ascii="等线" w:hAnsi="等线" w:eastAsia="等线"/>
                    <w:sz w:val="15"/>
                    <w:szCs w:val="15"/>
                  </w:rPr>
                  <w:t xml:space="preserve">第 </w:t>
                </w:r>
                <w:r>
                  <w:rPr>
                    <w:rFonts w:hint="eastAsia" w:ascii="等线" w:hAnsi="等线" w:eastAsia="等线"/>
                    <w:sz w:val="15"/>
                    <w:szCs w:val="15"/>
                  </w:rPr>
                  <w:fldChar w:fldCharType="begin"/>
                </w:r>
                <w:r>
                  <w:rPr>
                    <w:rFonts w:hint="eastAsia" w:ascii="等线" w:hAnsi="等线" w:eastAsia="等线"/>
                    <w:sz w:val="15"/>
                    <w:szCs w:val="15"/>
                  </w:rPr>
                  <w:instrText xml:space="preserve"> PAGE  \* MERGEFORMAT </w:instrText>
                </w:r>
                <w:r>
                  <w:rPr>
                    <w:rFonts w:hint="eastAsia" w:ascii="等线" w:hAnsi="等线" w:eastAsia="等线"/>
                    <w:sz w:val="15"/>
                    <w:szCs w:val="15"/>
                  </w:rPr>
                  <w:fldChar w:fldCharType="separate"/>
                </w:r>
                <w:r>
                  <w:rPr>
                    <w:rFonts w:ascii="等线" w:hAnsi="等线" w:eastAsia="等线"/>
                    <w:sz w:val="15"/>
                    <w:szCs w:val="15"/>
                  </w:rPr>
                  <w:t>2</w:t>
                </w:r>
                <w:r>
                  <w:rPr>
                    <w:rFonts w:hint="eastAsia" w:ascii="等线" w:hAnsi="等线" w:eastAsia="等线"/>
                    <w:sz w:val="15"/>
                    <w:szCs w:val="15"/>
                  </w:rPr>
                  <w:fldChar w:fldCharType="end"/>
                </w:r>
                <w:r>
                  <w:rPr>
                    <w:rFonts w:hint="eastAsia" w:ascii="等线" w:hAnsi="等线" w:eastAsia="等线"/>
                    <w:sz w:val="15"/>
                    <w:szCs w:val="15"/>
                  </w:rPr>
                  <w:t xml:space="preserve"> 页 共 </w:t>
                </w:r>
                <w:r>
                  <w:fldChar w:fldCharType="begin"/>
                </w:r>
                <w:r>
                  <w:instrText xml:space="preserve"> NUMPAGES  \* MERGEFORMAT </w:instrText>
                </w:r>
                <w:r>
                  <w:fldChar w:fldCharType="separate"/>
                </w:r>
                <w:r>
                  <w:rPr>
                    <w:rFonts w:ascii="等线" w:hAnsi="等线" w:eastAsia="等线"/>
                    <w:sz w:val="15"/>
                    <w:szCs w:val="15"/>
                  </w:rPr>
                  <w:t>3</w:t>
                </w:r>
                <w:r>
                  <w:rPr>
                    <w:rFonts w:ascii="等线" w:hAnsi="等线" w:eastAsia="等线"/>
                    <w:sz w:val="15"/>
                    <w:szCs w:val="15"/>
                  </w:rPr>
                  <w:fldChar w:fldCharType="end"/>
                </w:r>
                <w:r>
                  <w:rPr>
                    <w:rFonts w:hint="eastAsia" w:ascii="等线" w:hAnsi="等线" w:eastAsia="等线"/>
                    <w:sz w:val="15"/>
                    <w:szCs w:val="15"/>
                  </w:rPr>
                  <w:t>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characterSpacingControl w:val="doNotCompress"/>
  <w:hdrShapeDefaults>
    <o:shapelayout v:ext="edit">
      <o:idmap v:ext="edit" data="1"/>
    </o:shapelayout>
  </w:hdrShapeDefaults>
  <w:compat>
    <w:ulTrailSpace/>
    <w:useFELayout/>
    <w:compatSetting w:name="compatibilityMode" w:uri="http://schemas.microsoft.com/office/word" w:val="12"/>
  </w:compat>
  <w:docVars>
    <w:docVar w:name="commondata" w:val="eyJoZGlkIjoiNGRmMzk1NGRjY2JmYmM5YjE3NDY2Njc1OGYxZGIzNGYifQ=="/>
    <w:docVar w:name="KSO_WPS_MARK_KEY" w:val="c86cead5-f284-47ae-b0bb-7a8818064817"/>
  </w:docVars>
  <w:rsids>
    <w:rsidRoot w:val="00131DE6"/>
    <w:rsid w:val="00005953"/>
    <w:rsid w:val="00016173"/>
    <w:rsid w:val="000173EC"/>
    <w:rsid w:val="00017F01"/>
    <w:rsid w:val="00021246"/>
    <w:rsid w:val="00021591"/>
    <w:rsid w:val="0002400C"/>
    <w:rsid w:val="00031519"/>
    <w:rsid w:val="00047F5B"/>
    <w:rsid w:val="00051EF7"/>
    <w:rsid w:val="00053AF8"/>
    <w:rsid w:val="000700DD"/>
    <w:rsid w:val="00071E41"/>
    <w:rsid w:val="000748E0"/>
    <w:rsid w:val="00075406"/>
    <w:rsid w:val="00084222"/>
    <w:rsid w:val="00084985"/>
    <w:rsid w:val="00086E2F"/>
    <w:rsid w:val="00091987"/>
    <w:rsid w:val="000A0A35"/>
    <w:rsid w:val="000A4A55"/>
    <w:rsid w:val="000A7557"/>
    <w:rsid w:val="000B47B2"/>
    <w:rsid w:val="000C2830"/>
    <w:rsid w:val="000C36AD"/>
    <w:rsid w:val="000C5264"/>
    <w:rsid w:val="000D3A2C"/>
    <w:rsid w:val="000D5247"/>
    <w:rsid w:val="000E4E81"/>
    <w:rsid w:val="000E5194"/>
    <w:rsid w:val="000F2086"/>
    <w:rsid w:val="000F264F"/>
    <w:rsid w:val="000F40D8"/>
    <w:rsid w:val="001008FC"/>
    <w:rsid w:val="001045CD"/>
    <w:rsid w:val="001049A1"/>
    <w:rsid w:val="00116DC4"/>
    <w:rsid w:val="00121A25"/>
    <w:rsid w:val="00122F5A"/>
    <w:rsid w:val="00131C79"/>
    <w:rsid w:val="00131DE6"/>
    <w:rsid w:val="0013374C"/>
    <w:rsid w:val="00133811"/>
    <w:rsid w:val="00136B60"/>
    <w:rsid w:val="00137B19"/>
    <w:rsid w:val="001451FD"/>
    <w:rsid w:val="0015252A"/>
    <w:rsid w:val="00153852"/>
    <w:rsid w:val="001545B8"/>
    <w:rsid w:val="00157DB8"/>
    <w:rsid w:val="00160E6D"/>
    <w:rsid w:val="00161070"/>
    <w:rsid w:val="00166240"/>
    <w:rsid w:val="00167491"/>
    <w:rsid w:val="00174ADC"/>
    <w:rsid w:val="00180B3D"/>
    <w:rsid w:val="0018115A"/>
    <w:rsid w:val="0018146C"/>
    <w:rsid w:val="00182D8E"/>
    <w:rsid w:val="00184353"/>
    <w:rsid w:val="001864D1"/>
    <w:rsid w:val="00186714"/>
    <w:rsid w:val="00186A85"/>
    <w:rsid w:val="0019125D"/>
    <w:rsid w:val="00193375"/>
    <w:rsid w:val="00195228"/>
    <w:rsid w:val="001A63AE"/>
    <w:rsid w:val="001A73BA"/>
    <w:rsid w:val="001B6F63"/>
    <w:rsid w:val="001D3041"/>
    <w:rsid w:val="001D6F2F"/>
    <w:rsid w:val="001F10C5"/>
    <w:rsid w:val="00202992"/>
    <w:rsid w:val="002041DC"/>
    <w:rsid w:val="0020602D"/>
    <w:rsid w:val="002113D0"/>
    <w:rsid w:val="002113D4"/>
    <w:rsid w:val="00217298"/>
    <w:rsid w:val="00220CDD"/>
    <w:rsid w:val="00222D5D"/>
    <w:rsid w:val="002263B1"/>
    <w:rsid w:val="0022747F"/>
    <w:rsid w:val="00235D48"/>
    <w:rsid w:val="002360FB"/>
    <w:rsid w:val="00243D2A"/>
    <w:rsid w:val="00245F2C"/>
    <w:rsid w:val="00253C67"/>
    <w:rsid w:val="00255254"/>
    <w:rsid w:val="002558A6"/>
    <w:rsid w:val="00256192"/>
    <w:rsid w:val="002638BB"/>
    <w:rsid w:val="002640A1"/>
    <w:rsid w:val="00266D94"/>
    <w:rsid w:val="00267D45"/>
    <w:rsid w:val="00267EB7"/>
    <w:rsid w:val="002831C2"/>
    <w:rsid w:val="00286017"/>
    <w:rsid w:val="00293EC4"/>
    <w:rsid w:val="00295B9F"/>
    <w:rsid w:val="00296A48"/>
    <w:rsid w:val="002A04A2"/>
    <w:rsid w:val="002A7573"/>
    <w:rsid w:val="002B2A3F"/>
    <w:rsid w:val="002B2B52"/>
    <w:rsid w:val="002B368C"/>
    <w:rsid w:val="002B4F8B"/>
    <w:rsid w:val="002D2380"/>
    <w:rsid w:val="002D51FF"/>
    <w:rsid w:val="002D70CC"/>
    <w:rsid w:val="002D7883"/>
    <w:rsid w:val="002E5530"/>
    <w:rsid w:val="00301550"/>
    <w:rsid w:val="00303CC0"/>
    <w:rsid w:val="00306CC7"/>
    <w:rsid w:val="0031126A"/>
    <w:rsid w:val="003113A4"/>
    <w:rsid w:val="00314B1C"/>
    <w:rsid w:val="00323A5A"/>
    <w:rsid w:val="003316A0"/>
    <w:rsid w:val="003404D0"/>
    <w:rsid w:val="00340F1D"/>
    <w:rsid w:val="00344557"/>
    <w:rsid w:val="003456C2"/>
    <w:rsid w:val="00352815"/>
    <w:rsid w:val="00353BA6"/>
    <w:rsid w:val="0035457F"/>
    <w:rsid w:val="003609D4"/>
    <w:rsid w:val="003633EE"/>
    <w:rsid w:val="0036633F"/>
    <w:rsid w:val="00373098"/>
    <w:rsid w:val="00376BEF"/>
    <w:rsid w:val="0038486D"/>
    <w:rsid w:val="0039412B"/>
    <w:rsid w:val="003A4DF2"/>
    <w:rsid w:val="003A5388"/>
    <w:rsid w:val="003A5CA1"/>
    <w:rsid w:val="003B624C"/>
    <w:rsid w:val="003B723C"/>
    <w:rsid w:val="003C754A"/>
    <w:rsid w:val="003D0EE7"/>
    <w:rsid w:val="003D7498"/>
    <w:rsid w:val="003E4656"/>
    <w:rsid w:val="003E4868"/>
    <w:rsid w:val="003E4AEA"/>
    <w:rsid w:val="003E7193"/>
    <w:rsid w:val="003F1A4F"/>
    <w:rsid w:val="003F2C33"/>
    <w:rsid w:val="003F4774"/>
    <w:rsid w:val="003F5F5F"/>
    <w:rsid w:val="00402197"/>
    <w:rsid w:val="004023E2"/>
    <w:rsid w:val="00402661"/>
    <w:rsid w:val="00403DF7"/>
    <w:rsid w:val="00413150"/>
    <w:rsid w:val="00420313"/>
    <w:rsid w:val="004233CF"/>
    <w:rsid w:val="004268A7"/>
    <w:rsid w:val="00427175"/>
    <w:rsid w:val="00427645"/>
    <w:rsid w:val="00442EA1"/>
    <w:rsid w:val="00453665"/>
    <w:rsid w:val="0046160A"/>
    <w:rsid w:val="00462DD4"/>
    <w:rsid w:val="004643B4"/>
    <w:rsid w:val="004664B8"/>
    <w:rsid w:val="00467E78"/>
    <w:rsid w:val="00471C14"/>
    <w:rsid w:val="00482EE2"/>
    <w:rsid w:val="004850F1"/>
    <w:rsid w:val="00486657"/>
    <w:rsid w:val="004917A9"/>
    <w:rsid w:val="00494030"/>
    <w:rsid w:val="004A1D8C"/>
    <w:rsid w:val="004A4A3F"/>
    <w:rsid w:val="004A791D"/>
    <w:rsid w:val="004B149A"/>
    <w:rsid w:val="004B5130"/>
    <w:rsid w:val="004C02ED"/>
    <w:rsid w:val="004E7284"/>
    <w:rsid w:val="004E7E47"/>
    <w:rsid w:val="004F2081"/>
    <w:rsid w:val="004F588A"/>
    <w:rsid w:val="004F6D4A"/>
    <w:rsid w:val="004F7A4C"/>
    <w:rsid w:val="004F7F11"/>
    <w:rsid w:val="0050112E"/>
    <w:rsid w:val="00503CE5"/>
    <w:rsid w:val="00503E2E"/>
    <w:rsid w:val="00506030"/>
    <w:rsid w:val="00512835"/>
    <w:rsid w:val="0052162A"/>
    <w:rsid w:val="00524C11"/>
    <w:rsid w:val="00530A07"/>
    <w:rsid w:val="005327F3"/>
    <w:rsid w:val="00535048"/>
    <w:rsid w:val="00535185"/>
    <w:rsid w:val="00550011"/>
    <w:rsid w:val="005545B2"/>
    <w:rsid w:val="0055555D"/>
    <w:rsid w:val="0055609B"/>
    <w:rsid w:val="005571D1"/>
    <w:rsid w:val="00564925"/>
    <w:rsid w:val="00570D07"/>
    <w:rsid w:val="00581D9C"/>
    <w:rsid w:val="00585A01"/>
    <w:rsid w:val="00587A31"/>
    <w:rsid w:val="00591B96"/>
    <w:rsid w:val="0059414D"/>
    <w:rsid w:val="005A01A4"/>
    <w:rsid w:val="005B5677"/>
    <w:rsid w:val="005C510C"/>
    <w:rsid w:val="005C5416"/>
    <w:rsid w:val="005F0E55"/>
    <w:rsid w:val="0060071F"/>
    <w:rsid w:val="006008AB"/>
    <w:rsid w:val="00600CA1"/>
    <w:rsid w:val="006033A7"/>
    <w:rsid w:val="00604751"/>
    <w:rsid w:val="006056AF"/>
    <w:rsid w:val="006144E7"/>
    <w:rsid w:val="00615771"/>
    <w:rsid w:val="00621D9A"/>
    <w:rsid w:val="00622A39"/>
    <w:rsid w:val="00623546"/>
    <w:rsid w:val="006256F9"/>
    <w:rsid w:val="00626513"/>
    <w:rsid w:val="00627B26"/>
    <w:rsid w:val="0063449F"/>
    <w:rsid w:val="006403FB"/>
    <w:rsid w:val="00640661"/>
    <w:rsid w:val="00641971"/>
    <w:rsid w:val="00641BE3"/>
    <w:rsid w:val="00642679"/>
    <w:rsid w:val="006449A8"/>
    <w:rsid w:val="0064766A"/>
    <w:rsid w:val="006500A6"/>
    <w:rsid w:val="00655D3A"/>
    <w:rsid w:val="006568A5"/>
    <w:rsid w:val="00663C0A"/>
    <w:rsid w:val="00666826"/>
    <w:rsid w:val="00670531"/>
    <w:rsid w:val="0068073C"/>
    <w:rsid w:val="00684EED"/>
    <w:rsid w:val="00685C7B"/>
    <w:rsid w:val="00697E90"/>
    <w:rsid w:val="006A1550"/>
    <w:rsid w:val="006A774E"/>
    <w:rsid w:val="006B2240"/>
    <w:rsid w:val="006C1DA4"/>
    <w:rsid w:val="006D4511"/>
    <w:rsid w:val="006E5E37"/>
    <w:rsid w:val="006F2219"/>
    <w:rsid w:val="006F5AB5"/>
    <w:rsid w:val="006F78C2"/>
    <w:rsid w:val="007067FF"/>
    <w:rsid w:val="0071036A"/>
    <w:rsid w:val="0071052B"/>
    <w:rsid w:val="0071370F"/>
    <w:rsid w:val="00713E08"/>
    <w:rsid w:val="007141AA"/>
    <w:rsid w:val="0071735A"/>
    <w:rsid w:val="007228B5"/>
    <w:rsid w:val="00724EDA"/>
    <w:rsid w:val="007312A3"/>
    <w:rsid w:val="00742265"/>
    <w:rsid w:val="007440F7"/>
    <w:rsid w:val="00744EFC"/>
    <w:rsid w:val="007550A3"/>
    <w:rsid w:val="00761B6C"/>
    <w:rsid w:val="007621BB"/>
    <w:rsid w:val="007625E6"/>
    <w:rsid w:val="00763F15"/>
    <w:rsid w:val="00766131"/>
    <w:rsid w:val="00767B95"/>
    <w:rsid w:val="00771024"/>
    <w:rsid w:val="007763C5"/>
    <w:rsid w:val="00781DB2"/>
    <w:rsid w:val="0078537D"/>
    <w:rsid w:val="0078652F"/>
    <w:rsid w:val="00790291"/>
    <w:rsid w:val="00793990"/>
    <w:rsid w:val="007950AC"/>
    <w:rsid w:val="007A34DB"/>
    <w:rsid w:val="007B0835"/>
    <w:rsid w:val="007B1400"/>
    <w:rsid w:val="007B448F"/>
    <w:rsid w:val="007B6FA5"/>
    <w:rsid w:val="007B7374"/>
    <w:rsid w:val="007C0B8A"/>
    <w:rsid w:val="007D00D8"/>
    <w:rsid w:val="007D3DC2"/>
    <w:rsid w:val="007E57D0"/>
    <w:rsid w:val="007F12A7"/>
    <w:rsid w:val="008070BF"/>
    <w:rsid w:val="00812E1A"/>
    <w:rsid w:val="00815F11"/>
    <w:rsid w:val="00827CF3"/>
    <w:rsid w:val="008357C6"/>
    <w:rsid w:val="00843F8B"/>
    <w:rsid w:val="00844569"/>
    <w:rsid w:val="0085252A"/>
    <w:rsid w:val="00852967"/>
    <w:rsid w:val="00854EE9"/>
    <w:rsid w:val="00872A4C"/>
    <w:rsid w:val="008732C9"/>
    <w:rsid w:val="00873BD3"/>
    <w:rsid w:val="008770E4"/>
    <w:rsid w:val="00882FA7"/>
    <w:rsid w:val="00884ADD"/>
    <w:rsid w:val="008A0D4E"/>
    <w:rsid w:val="008A1F0D"/>
    <w:rsid w:val="008A3870"/>
    <w:rsid w:val="008A5226"/>
    <w:rsid w:val="008B0D5D"/>
    <w:rsid w:val="008B5F34"/>
    <w:rsid w:val="008C19AD"/>
    <w:rsid w:val="008C27CF"/>
    <w:rsid w:val="008C2CBC"/>
    <w:rsid w:val="008C3D7D"/>
    <w:rsid w:val="008C3EC0"/>
    <w:rsid w:val="008D033A"/>
    <w:rsid w:val="008D215A"/>
    <w:rsid w:val="008D227B"/>
    <w:rsid w:val="008D48BC"/>
    <w:rsid w:val="008D4D4D"/>
    <w:rsid w:val="008D5483"/>
    <w:rsid w:val="008E34B6"/>
    <w:rsid w:val="008F7468"/>
    <w:rsid w:val="009025E3"/>
    <w:rsid w:val="009053AC"/>
    <w:rsid w:val="0090653A"/>
    <w:rsid w:val="0090763D"/>
    <w:rsid w:val="009223E5"/>
    <w:rsid w:val="0092362C"/>
    <w:rsid w:val="009309E9"/>
    <w:rsid w:val="00931098"/>
    <w:rsid w:val="009349EF"/>
    <w:rsid w:val="009359AC"/>
    <w:rsid w:val="00937A19"/>
    <w:rsid w:val="00942BC9"/>
    <w:rsid w:val="009448DA"/>
    <w:rsid w:val="00945091"/>
    <w:rsid w:val="009464D5"/>
    <w:rsid w:val="009514EC"/>
    <w:rsid w:val="00953781"/>
    <w:rsid w:val="00954B4E"/>
    <w:rsid w:val="00955ACF"/>
    <w:rsid w:val="00961A7B"/>
    <w:rsid w:val="00964986"/>
    <w:rsid w:val="00972EFA"/>
    <w:rsid w:val="0097589A"/>
    <w:rsid w:val="009843C1"/>
    <w:rsid w:val="00984771"/>
    <w:rsid w:val="00986054"/>
    <w:rsid w:val="00986FDB"/>
    <w:rsid w:val="00987BF9"/>
    <w:rsid w:val="00996984"/>
    <w:rsid w:val="009A0AF4"/>
    <w:rsid w:val="009A0CBD"/>
    <w:rsid w:val="009A1328"/>
    <w:rsid w:val="009A3FFE"/>
    <w:rsid w:val="009A479A"/>
    <w:rsid w:val="009B21AE"/>
    <w:rsid w:val="009B48DB"/>
    <w:rsid w:val="009B7A89"/>
    <w:rsid w:val="009C1D47"/>
    <w:rsid w:val="009C29B8"/>
    <w:rsid w:val="009C45C1"/>
    <w:rsid w:val="009D0D19"/>
    <w:rsid w:val="009E0C4C"/>
    <w:rsid w:val="009E1E14"/>
    <w:rsid w:val="009E4DE5"/>
    <w:rsid w:val="009E6F6F"/>
    <w:rsid w:val="009E74E4"/>
    <w:rsid w:val="009E769B"/>
    <w:rsid w:val="009F35C9"/>
    <w:rsid w:val="009F4F20"/>
    <w:rsid w:val="009F7855"/>
    <w:rsid w:val="00A04179"/>
    <w:rsid w:val="00A103C4"/>
    <w:rsid w:val="00A1715B"/>
    <w:rsid w:val="00A21C82"/>
    <w:rsid w:val="00A26944"/>
    <w:rsid w:val="00A35160"/>
    <w:rsid w:val="00A352DB"/>
    <w:rsid w:val="00A41B0B"/>
    <w:rsid w:val="00A4602D"/>
    <w:rsid w:val="00A465C7"/>
    <w:rsid w:val="00A65408"/>
    <w:rsid w:val="00A6653D"/>
    <w:rsid w:val="00A72120"/>
    <w:rsid w:val="00A763DC"/>
    <w:rsid w:val="00A84A4A"/>
    <w:rsid w:val="00A9423C"/>
    <w:rsid w:val="00AA4858"/>
    <w:rsid w:val="00AC4E86"/>
    <w:rsid w:val="00AD0E99"/>
    <w:rsid w:val="00AD2A08"/>
    <w:rsid w:val="00AD4794"/>
    <w:rsid w:val="00AE210C"/>
    <w:rsid w:val="00AE3DEA"/>
    <w:rsid w:val="00AE4C74"/>
    <w:rsid w:val="00AE4DCF"/>
    <w:rsid w:val="00AF0E74"/>
    <w:rsid w:val="00AF34C2"/>
    <w:rsid w:val="00AF60CD"/>
    <w:rsid w:val="00AF6EF8"/>
    <w:rsid w:val="00B00947"/>
    <w:rsid w:val="00B05075"/>
    <w:rsid w:val="00B06CFB"/>
    <w:rsid w:val="00B119BB"/>
    <w:rsid w:val="00B12B97"/>
    <w:rsid w:val="00B20FA6"/>
    <w:rsid w:val="00B223E7"/>
    <w:rsid w:val="00B274F7"/>
    <w:rsid w:val="00B3121D"/>
    <w:rsid w:val="00B31C0A"/>
    <w:rsid w:val="00B32AB7"/>
    <w:rsid w:val="00B3374E"/>
    <w:rsid w:val="00B34C0B"/>
    <w:rsid w:val="00B417C5"/>
    <w:rsid w:val="00B50490"/>
    <w:rsid w:val="00B50BDC"/>
    <w:rsid w:val="00B51F96"/>
    <w:rsid w:val="00B655F1"/>
    <w:rsid w:val="00B662B0"/>
    <w:rsid w:val="00B6728D"/>
    <w:rsid w:val="00B71A29"/>
    <w:rsid w:val="00B8442B"/>
    <w:rsid w:val="00B85CCA"/>
    <w:rsid w:val="00B86B35"/>
    <w:rsid w:val="00B879F5"/>
    <w:rsid w:val="00B90189"/>
    <w:rsid w:val="00B94DAE"/>
    <w:rsid w:val="00B97798"/>
    <w:rsid w:val="00BA5B30"/>
    <w:rsid w:val="00BA69D5"/>
    <w:rsid w:val="00BB2383"/>
    <w:rsid w:val="00BB2DFC"/>
    <w:rsid w:val="00BB31F1"/>
    <w:rsid w:val="00BB3368"/>
    <w:rsid w:val="00BB438B"/>
    <w:rsid w:val="00BB5C79"/>
    <w:rsid w:val="00BC3998"/>
    <w:rsid w:val="00BC5B4B"/>
    <w:rsid w:val="00BC6F1C"/>
    <w:rsid w:val="00BC792C"/>
    <w:rsid w:val="00BD38B0"/>
    <w:rsid w:val="00BE005E"/>
    <w:rsid w:val="00BE124A"/>
    <w:rsid w:val="00BE22D6"/>
    <w:rsid w:val="00BF0BEF"/>
    <w:rsid w:val="00BF5503"/>
    <w:rsid w:val="00BF78E1"/>
    <w:rsid w:val="00C1085D"/>
    <w:rsid w:val="00C20B17"/>
    <w:rsid w:val="00C21ECD"/>
    <w:rsid w:val="00C246C7"/>
    <w:rsid w:val="00C323C4"/>
    <w:rsid w:val="00C331D8"/>
    <w:rsid w:val="00C359A3"/>
    <w:rsid w:val="00C3678E"/>
    <w:rsid w:val="00C475F7"/>
    <w:rsid w:val="00C50E52"/>
    <w:rsid w:val="00C535B0"/>
    <w:rsid w:val="00C57F19"/>
    <w:rsid w:val="00C74562"/>
    <w:rsid w:val="00C74D57"/>
    <w:rsid w:val="00C74F2B"/>
    <w:rsid w:val="00C75585"/>
    <w:rsid w:val="00C76204"/>
    <w:rsid w:val="00C76607"/>
    <w:rsid w:val="00C77135"/>
    <w:rsid w:val="00C774EA"/>
    <w:rsid w:val="00C81E0C"/>
    <w:rsid w:val="00C85F73"/>
    <w:rsid w:val="00C873DD"/>
    <w:rsid w:val="00C94A2A"/>
    <w:rsid w:val="00CA4811"/>
    <w:rsid w:val="00CA58F7"/>
    <w:rsid w:val="00CB6E65"/>
    <w:rsid w:val="00CC0000"/>
    <w:rsid w:val="00CC294F"/>
    <w:rsid w:val="00CC3424"/>
    <w:rsid w:val="00CC5C3A"/>
    <w:rsid w:val="00CD1A38"/>
    <w:rsid w:val="00CD26EF"/>
    <w:rsid w:val="00CE2478"/>
    <w:rsid w:val="00CF0094"/>
    <w:rsid w:val="00CF0809"/>
    <w:rsid w:val="00CF240C"/>
    <w:rsid w:val="00CF24BB"/>
    <w:rsid w:val="00D00914"/>
    <w:rsid w:val="00D00FAA"/>
    <w:rsid w:val="00D01090"/>
    <w:rsid w:val="00D052EB"/>
    <w:rsid w:val="00D07E4E"/>
    <w:rsid w:val="00D327B8"/>
    <w:rsid w:val="00D47380"/>
    <w:rsid w:val="00D5282B"/>
    <w:rsid w:val="00D5623A"/>
    <w:rsid w:val="00D566E7"/>
    <w:rsid w:val="00D6203F"/>
    <w:rsid w:val="00D63522"/>
    <w:rsid w:val="00D701A3"/>
    <w:rsid w:val="00D85BA9"/>
    <w:rsid w:val="00D90174"/>
    <w:rsid w:val="00D968AB"/>
    <w:rsid w:val="00DB6982"/>
    <w:rsid w:val="00DC0C21"/>
    <w:rsid w:val="00DE6EAE"/>
    <w:rsid w:val="00DF0655"/>
    <w:rsid w:val="00DF1722"/>
    <w:rsid w:val="00DF39FB"/>
    <w:rsid w:val="00DF5E8C"/>
    <w:rsid w:val="00DF6B67"/>
    <w:rsid w:val="00DF7D45"/>
    <w:rsid w:val="00E00450"/>
    <w:rsid w:val="00E03E9C"/>
    <w:rsid w:val="00E043B3"/>
    <w:rsid w:val="00E05B1B"/>
    <w:rsid w:val="00E15C38"/>
    <w:rsid w:val="00E2047A"/>
    <w:rsid w:val="00E22DF4"/>
    <w:rsid w:val="00E24039"/>
    <w:rsid w:val="00E25B5B"/>
    <w:rsid w:val="00E26304"/>
    <w:rsid w:val="00E26F19"/>
    <w:rsid w:val="00E304A2"/>
    <w:rsid w:val="00E332F4"/>
    <w:rsid w:val="00E3464F"/>
    <w:rsid w:val="00E36573"/>
    <w:rsid w:val="00E37EC4"/>
    <w:rsid w:val="00E43A2C"/>
    <w:rsid w:val="00E44AA9"/>
    <w:rsid w:val="00E46849"/>
    <w:rsid w:val="00E5038D"/>
    <w:rsid w:val="00E522FB"/>
    <w:rsid w:val="00E579F0"/>
    <w:rsid w:val="00E61170"/>
    <w:rsid w:val="00E67F75"/>
    <w:rsid w:val="00E67FFC"/>
    <w:rsid w:val="00E7164E"/>
    <w:rsid w:val="00E72A94"/>
    <w:rsid w:val="00E730C3"/>
    <w:rsid w:val="00E749A3"/>
    <w:rsid w:val="00E74D09"/>
    <w:rsid w:val="00E84241"/>
    <w:rsid w:val="00E85934"/>
    <w:rsid w:val="00E86DAE"/>
    <w:rsid w:val="00E921C5"/>
    <w:rsid w:val="00E971E2"/>
    <w:rsid w:val="00EA3746"/>
    <w:rsid w:val="00EA5FCA"/>
    <w:rsid w:val="00EA7C52"/>
    <w:rsid w:val="00EB1CBA"/>
    <w:rsid w:val="00EB2985"/>
    <w:rsid w:val="00EB4090"/>
    <w:rsid w:val="00EB7757"/>
    <w:rsid w:val="00EC098B"/>
    <w:rsid w:val="00EC60DE"/>
    <w:rsid w:val="00EC70FC"/>
    <w:rsid w:val="00EC73F2"/>
    <w:rsid w:val="00EC7952"/>
    <w:rsid w:val="00ED0B10"/>
    <w:rsid w:val="00EE02EC"/>
    <w:rsid w:val="00EE0F8F"/>
    <w:rsid w:val="00EE3B81"/>
    <w:rsid w:val="00EE4E90"/>
    <w:rsid w:val="00EE6D42"/>
    <w:rsid w:val="00EE7755"/>
    <w:rsid w:val="00EF29BE"/>
    <w:rsid w:val="00EF422C"/>
    <w:rsid w:val="00EF5380"/>
    <w:rsid w:val="00EF732C"/>
    <w:rsid w:val="00F028F4"/>
    <w:rsid w:val="00F04E43"/>
    <w:rsid w:val="00F10D0C"/>
    <w:rsid w:val="00F116F6"/>
    <w:rsid w:val="00F129B4"/>
    <w:rsid w:val="00F16972"/>
    <w:rsid w:val="00F21007"/>
    <w:rsid w:val="00F228BB"/>
    <w:rsid w:val="00F24586"/>
    <w:rsid w:val="00F24F5D"/>
    <w:rsid w:val="00F2784D"/>
    <w:rsid w:val="00F374B0"/>
    <w:rsid w:val="00F452FD"/>
    <w:rsid w:val="00F4568A"/>
    <w:rsid w:val="00F479F2"/>
    <w:rsid w:val="00F47C52"/>
    <w:rsid w:val="00F546C6"/>
    <w:rsid w:val="00F57844"/>
    <w:rsid w:val="00F57D84"/>
    <w:rsid w:val="00F730A0"/>
    <w:rsid w:val="00F7416C"/>
    <w:rsid w:val="00F76DB1"/>
    <w:rsid w:val="00F778B5"/>
    <w:rsid w:val="00F90F9A"/>
    <w:rsid w:val="00FB3EB4"/>
    <w:rsid w:val="00FB4998"/>
    <w:rsid w:val="00FC2AD1"/>
    <w:rsid w:val="00FC2DE7"/>
    <w:rsid w:val="00FD2835"/>
    <w:rsid w:val="00FE421A"/>
    <w:rsid w:val="00FE42E3"/>
    <w:rsid w:val="00FF01B2"/>
    <w:rsid w:val="00FF118A"/>
    <w:rsid w:val="00FF29BE"/>
    <w:rsid w:val="00FF4E61"/>
    <w:rsid w:val="021B70CA"/>
    <w:rsid w:val="02FB785F"/>
    <w:rsid w:val="0331471C"/>
    <w:rsid w:val="05C340AE"/>
    <w:rsid w:val="062D1233"/>
    <w:rsid w:val="075F4FCE"/>
    <w:rsid w:val="07D60DC7"/>
    <w:rsid w:val="07FB78E2"/>
    <w:rsid w:val="09190672"/>
    <w:rsid w:val="098C1982"/>
    <w:rsid w:val="0AD17C73"/>
    <w:rsid w:val="0B223429"/>
    <w:rsid w:val="0BF6330B"/>
    <w:rsid w:val="0D070425"/>
    <w:rsid w:val="0D860817"/>
    <w:rsid w:val="1173466E"/>
    <w:rsid w:val="1A8B7E74"/>
    <w:rsid w:val="1BF75CD4"/>
    <w:rsid w:val="1D2802E0"/>
    <w:rsid w:val="1D6251A3"/>
    <w:rsid w:val="1DA26B16"/>
    <w:rsid w:val="1DC23009"/>
    <w:rsid w:val="1F7F1D4F"/>
    <w:rsid w:val="1FF9F3E0"/>
    <w:rsid w:val="20711230"/>
    <w:rsid w:val="20EB3D91"/>
    <w:rsid w:val="225F7E0F"/>
    <w:rsid w:val="22F53244"/>
    <w:rsid w:val="238756AB"/>
    <w:rsid w:val="24CB4A45"/>
    <w:rsid w:val="25B67BB0"/>
    <w:rsid w:val="25E24733"/>
    <w:rsid w:val="270315F6"/>
    <w:rsid w:val="27636302"/>
    <w:rsid w:val="27E72C73"/>
    <w:rsid w:val="2AA75157"/>
    <w:rsid w:val="2D524A23"/>
    <w:rsid w:val="2FAC144C"/>
    <w:rsid w:val="36830C35"/>
    <w:rsid w:val="36DB71DD"/>
    <w:rsid w:val="387F22F4"/>
    <w:rsid w:val="39433CEF"/>
    <w:rsid w:val="3A334D29"/>
    <w:rsid w:val="3B5B16CD"/>
    <w:rsid w:val="3C270386"/>
    <w:rsid w:val="3CE3098B"/>
    <w:rsid w:val="3DA3687F"/>
    <w:rsid w:val="3F264977"/>
    <w:rsid w:val="40EE2C0D"/>
    <w:rsid w:val="44834AAF"/>
    <w:rsid w:val="45817CC8"/>
    <w:rsid w:val="46165D21"/>
    <w:rsid w:val="4B231C48"/>
    <w:rsid w:val="4C20576C"/>
    <w:rsid w:val="4F6E04D8"/>
    <w:rsid w:val="50597587"/>
    <w:rsid w:val="50B67315"/>
    <w:rsid w:val="50F81BD2"/>
    <w:rsid w:val="537721F7"/>
    <w:rsid w:val="56A07B67"/>
    <w:rsid w:val="570B4975"/>
    <w:rsid w:val="59584D80"/>
    <w:rsid w:val="5D495581"/>
    <w:rsid w:val="5E27627E"/>
    <w:rsid w:val="5E4448CB"/>
    <w:rsid w:val="60D757EF"/>
    <w:rsid w:val="610456CF"/>
    <w:rsid w:val="616F0E15"/>
    <w:rsid w:val="6456378F"/>
    <w:rsid w:val="653E418D"/>
    <w:rsid w:val="65601C11"/>
    <w:rsid w:val="65A016CE"/>
    <w:rsid w:val="66271BAC"/>
    <w:rsid w:val="694C56F8"/>
    <w:rsid w:val="704A4578"/>
    <w:rsid w:val="715608DC"/>
    <w:rsid w:val="718A536E"/>
    <w:rsid w:val="733A0F65"/>
    <w:rsid w:val="74816C28"/>
    <w:rsid w:val="749F2253"/>
    <w:rsid w:val="779A372D"/>
    <w:rsid w:val="779A4F9F"/>
    <w:rsid w:val="79843C27"/>
    <w:rsid w:val="7B882216"/>
    <w:rsid w:val="7BBB39C6"/>
    <w:rsid w:val="7C0747D6"/>
    <w:rsid w:val="7C5B16A6"/>
    <w:rsid w:val="7D3212BA"/>
    <w:rsid w:val="7FB354B3"/>
    <w:rsid w:val="7FCC3A1A"/>
    <w:rsid w:val="DDFE819D"/>
    <w:rsid w:val="F779F3F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link w:val="17"/>
    <w:qFormat/>
    <w:uiPriority w:val="0"/>
    <w:pPr>
      <w:spacing w:after="120"/>
    </w:pPr>
    <w:rPr>
      <w:rFonts w:asciiTheme="minorHAnsi" w:hAnsiTheme="minorHAnsi" w:cstheme="minorBidi"/>
      <w:szCs w:val="24"/>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9"/>
    <w:qFormat/>
    <w:uiPriority w:val="10"/>
    <w:pPr>
      <w:spacing w:before="240" w:after="60"/>
      <w:jc w:val="center"/>
      <w:outlineLvl w:val="0"/>
    </w:pPr>
    <w:rPr>
      <w:rFonts w:ascii="Arial" w:hAnsi="Arial" w:eastAsia="宋体"/>
      <w:b/>
      <w:sz w:val="32"/>
    </w:rPr>
  </w:style>
  <w:style w:type="character" w:customStyle="1" w:styleId="9">
    <w:name w:val="页眉 Char"/>
    <w:basedOn w:val="8"/>
    <w:link w:val="5"/>
    <w:qFormat/>
    <w:uiPriority w:val="99"/>
    <w:rPr>
      <w:rFonts w:ascii="Calibri" w:hAnsi="Calibri" w:eastAsia="宋体" w:cs="Times New Roman"/>
      <w:sz w:val="18"/>
      <w:szCs w:val="18"/>
    </w:rPr>
  </w:style>
  <w:style w:type="character" w:customStyle="1" w:styleId="10">
    <w:name w:val="页脚 Char"/>
    <w:basedOn w:val="8"/>
    <w:link w:val="4"/>
    <w:qFormat/>
    <w:uiPriority w:val="99"/>
    <w:rPr>
      <w:rFonts w:ascii="Calibri" w:hAnsi="Calibri" w:eastAsia="宋体" w:cs="Times New Roman"/>
      <w:sz w:val="18"/>
      <w:szCs w:val="18"/>
    </w:rPr>
  </w:style>
  <w:style w:type="paragraph" w:customStyle="1" w:styleId="11">
    <w:name w:val="列表段落1"/>
    <w:basedOn w:val="1"/>
    <w:qFormat/>
    <w:uiPriority w:val="34"/>
    <w:pPr>
      <w:ind w:firstLine="420" w:firstLineChars="200"/>
    </w:pPr>
  </w:style>
  <w:style w:type="paragraph" w:customStyle="1" w:styleId="12">
    <w:name w:val="修订1"/>
    <w:hidden/>
    <w:semiHidden/>
    <w:qFormat/>
    <w:uiPriority w:val="99"/>
    <w:rPr>
      <w:rFonts w:ascii="Calibri" w:hAnsi="Calibri" w:eastAsia="宋体" w:cs="Times New Roman"/>
      <w:kern w:val="2"/>
      <w:sz w:val="21"/>
      <w:szCs w:val="22"/>
      <w:lang w:val="en-US" w:eastAsia="zh-CN" w:bidi="ar-SA"/>
    </w:rPr>
  </w:style>
  <w:style w:type="paragraph" w:customStyle="1" w:styleId="13">
    <w:name w:val="修订2"/>
    <w:hidden/>
    <w:semiHidden/>
    <w:qFormat/>
    <w:uiPriority w:val="99"/>
    <w:rPr>
      <w:rFonts w:ascii="Calibri" w:hAnsi="Calibri" w:eastAsia="宋体" w:cs="Times New Roman"/>
      <w:kern w:val="2"/>
      <w:sz w:val="21"/>
      <w:szCs w:val="22"/>
      <w:lang w:val="en-US" w:eastAsia="zh-CN" w:bidi="ar-SA"/>
    </w:rPr>
  </w:style>
  <w:style w:type="paragraph" w:customStyle="1" w:styleId="14">
    <w:name w:val="修订3"/>
    <w:hidden/>
    <w:unhideWhenUsed/>
    <w:uiPriority w:val="99"/>
    <w:rPr>
      <w:rFonts w:ascii="Calibri" w:hAnsi="Calibri" w:eastAsia="宋体" w:cs="Times New Roman"/>
      <w:kern w:val="2"/>
      <w:sz w:val="21"/>
      <w:szCs w:val="22"/>
      <w:lang w:val="en-US" w:eastAsia="zh-CN" w:bidi="ar-SA"/>
    </w:rPr>
  </w:style>
  <w:style w:type="paragraph" w:styleId="15">
    <w:name w:val="List Paragraph"/>
    <w:basedOn w:val="1"/>
    <w:unhideWhenUsed/>
    <w:qFormat/>
    <w:uiPriority w:val="99"/>
    <w:pPr>
      <w:ind w:firstLine="420" w:firstLineChars="200"/>
    </w:pPr>
  </w:style>
  <w:style w:type="character" w:customStyle="1" w:styleId="16">
    <w:name w:val="正文文本 字符"/>
    <w:basedOn w:val="8"/>
    <w:semiHidden/>
    <w:qFormat/>
    <w:uiPriority w:val="99"/>
    <w:rPr>
      <w:rFonts w:ascii="Calibri" w:hAnsi="Calibri"/>
      <w:kern w:val="2"/>
      <w:sz w:val="21"/>
      <w:szCs w:val="22"/>
    </w:rPr>
  </w:style>
  <w:style w:type="character" w:customStyle="1" w:styleId="17">
    <w:name w:val="正文文本 Char"/>
    <w:link w:val="3"/>
    <w:qFormat/>
    <w:locked/>
    <w:uiPriority w:val="0"/>
    <w:rPr>
      <w:rFonts w:asciiTheme="minorHAnsi" w:hAnsiTheme="minorHAnsi" w:cstheme="minorBidi"/>
      <w:kern w:val="2"/>
      <w:sz w:val="21"/>
      <w:szCs w:val="24"/>
    </w:rPr>
  </w:style>
  <w:style w:type="table" w:customStyle="1" w:styleId="18">
    <w:name w:val="网格型11"/>
    <w:basedOn w:val="7"/>
    <w:qFormat/>
    <w:uiPriority w:val="39"/>
    <w:rPr>
      <w:rFonts w:ascii="Calibri" w:hAnsi="Calibri"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标题 Char"/>
    <w:basedOn w:val="8"/>
    <w:link w:val="6"/>
    <w:qFormat/>
    <w:uiPriority w:val="10"/>
    <w:rPr>
      <w:rFonts w:ascii="Arial" w:hAnsi="Arial" w:eastAsia="宋体"/>
      <w:b/>
      <w:kern w:val="2"/>
      <w:sz w:val="32"/>
      <w:szCs w:val="22"/>
    </w:rPr>
  </w:style>
  <w:style w:type="paragraph" w:customStyle="1" w:styleId="20">
    <w:name w:val="列出段落1"/>
    <w:basedOn w:val="1"/>
    <w:qFormat/>
    <w:uiPriority w:val="34"/>
    <w:pPr>
      <w:ind w:firstLine="420" w:firstLineChars="200"/>
    </w:pPr>
  </w:style>
  <w:style w:type="paragraph" w:customStyle="1" w:styleId="21">
    <w:name w:val="列出段落2"/>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8FBB71-02D6-4ADF-A9AF-F7C3B9066F2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1689</Words>
  <Characters>1993</Characters>
  <Lines>25</Lines>
  <Paragraphs>7</Paragraphs>
  <TotalTime>0</TotalTime>
  <ScaleCrop>false</ScaleCrop>
  <LinksUpToDate>false</LinksUpToDate>
  <CharactersWithSpaces>2024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2024-03-27T07:27:00Z</dcterms:created>
  <dc:creator>NTKO</dc:creator>
  <cp:lastModifiedBy>WPS_1494981489</cp:lastModifiedBy>
  <cp:lastPrinted>2023-12-19T05:30:00Z</cp:lastPrinted>
  <dcterms:modified xsi:type="dcterms:W3CDTF">2024-03-28T01:24:15Z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35B7881A1D6C40F5AF4583CAD4FFA8E8</vt:lpwstr>
  </property>
</Properties>
</file>