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jc w:val="center"/>
        <w:rPr>
          <w:rFonts w:ascii="方正小标宋简体" w:hAnsi="方正小标宋简体" w:eastAsia="方正小标宋简体" w:cs="方正小标宋简体"/>
          <w:bCs/>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bCs/>
          <w:color w:val="000000" w:themeColor="text1"/>
          <w:sz w:val="36"/>
          <w:szCs w:val="36"/>
          <w14:textFill>
            <w14:solidFill>
              <w14:schemeClr w14:val="tx1"/>
            </w14:solidFill>
          </w14:textFill>
        </w:rPr>
        <w:t>竞价协议书</w:t>
      </w:r>
    </w:p>
    <w:p>
      <w:pPr>
        <w:autoSpaceDE w:val="0"/>
        <w:autoSpaceDN w:val="0"/>
        <w:spacing w:line="560" w:lineRule="exact"/>
        <w:jc w:val="left"/>
        <w:rPr>
          <w:rFonts w:asciiTheme="minorEastAsia" w:hAnsiTheme="minorEastAsia" w:eastAsiaTheme="minorEastAsia"/>
          <w:b/>
          <w:color w:val="000000" w:themeColor="text1"/>
          <w:szCs w:val="21"/>
          <w:u w:val="single"/>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代理人(简称“甲方”)：厦门</w:t>
      </w:r>
      <w:r>
        <w:rPr>
          <w:rFonts w:hint="eastAsia" w:asciiTheme="minorEastAsia" w:hAnsiTheme="minorEastAsia" w:eastAsiaTheme="minorEastAsia"/>
          <w:b/>
          <w:color w:val="000000" w:themeColor="text1"/>
          <w:szCs w:val="21"/>
          <w:lang w:val="en-US" w:eastAsia="zh-CN"/>
          <w14:textFill>
            <w14:solidFill>
              <w14:schemeClr w14:val="tx1"/>
            </w14:solidFill>
          </w14:textFill>
        </w:rPr>
        <w:t>嘉禾</w:t>
      </w:r>
      <w:r>
        <w:rPr>
          <w:rFonts w:hint="eastAsia" w:asciiTheme="minorEastAsia" w:hAnsiTheme="minorEastAsia" w:eastAsiaTheme="minorEastAsia"/>
          <w:b/>
          <w:color w:val="000000" w:themeColor="text1"/>
          <w:szCs w:val="21"/>
          <w14:textFill>
            <w14:solidFill>
              <w14:schemeClr w14:val="tx1"/>
            </w14:solidFill>
          </w14:textFill>
        </w:rPr>
        <w:t>拍卖有限公司</w:t>
      </w:r>
      <w:r>
        <w:rPr>
          <w:rFonts w:hint="eastAsia" w:asciiTheme="minorEastAsia" w:hAnsiTheme="minorEastAsia" w:eastAsiaTheme="minorEastAsia"/>
          <w:b/>
          <w:color w:val="000000" w:themeColor="text1"/>
          <w:szCs w:val="21"/>
          <w14:textFill>
            <w14:solidFill>
              <w14:schemeClr w14:val="tx1"/>
            </w14:solidFill>
          </w14:textFill>
        </w:rPr>
        <w:cr/>
      </w:r>
      <w:r>
        <w:rPr>
          <w:rFonts w:hint="eastAsia" w:asciiTheme="minorEastAsia" w:hAnsiTheme="minorEastAsia" w:eastAsiaTheme="minorEastAsia"/>
          <w:b/>
          <w:color w:val="000000" w:themeColor="text1"/>
          <w:szCs w:val="21"/>
          <w14:textFill>
            <w14:solidFill>
              <w14:schemeClr w14:val="tx1"/>
            </w14:solidFill>
          </w14:textFill>
        </w:rPr>
        <w:t>竞价人(简称“乙方”)：</w:t>
      </w:r>
      <w:r>
        <w:rPr>
          <w:rFonts w:asciiTheme="minorEastAsia" w:hAnsiTheme="minorEastAsia" w:eastAsiaTheme="minorEastAsia"/>
          <w:b/>
          <w:color w:val="000000" w:themeColor="text1"/>
          <w:szCs w:val="21"/>
          <w:u w:val="single"/>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 xml:space="preserve">   受  托  人：</w:t>
      </w:r>
      <w:r>
        <w:rPr>
          <w:rFonts w:asciiTheme="minorEastAsia" w:hAnsiTheme="minorEastAsia" w:eastAsiaTheme="minorEastAsia"/>
          <w:b/>
          <w:color w:val="000000" w:themeColor="text1"/>
          <w:szCs w:val="21"/>
          <w:u w:val="single"/>
          <w14:textFill>
            <w14:solidFill>
              <w14:schemeClr w14:val="tx1"/>
            </w14:solidFill>
          </w14:textFill>
        </w:rPr>
        <w:t xml:space="preserve">                         </w:t>
      </w:r>
    </w:p>
    <w:p>
      <w:pPr>
        <w:autoSpaceDE w:val="0"/>
        <w:autoSpaceDN w:val="0"/>
        <w:spacing w:line="560" w:lineRule="exact"/>
        <w:jc w:val="left"/>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b/>
          <w:color w:val="000000" w:themeColor="text1"/>
          <w:spacing w:val="20"/>
          <w:szCs w:val="21"/>
          <w14:textFill>
            <w14:solidFill>
              <w14:schemeClr w14:val="tx1"/>
            </w14:solidFill>
          </w14:textFill>
        </w:rPr>
        <w:t>证件号码</w:t>
      </w:r>
      <w:r>
        <w:rPr>
          <w:rFonts w:hint="eastAsia" w:asciiTheme="minorEastAsia" w:hAnsiTheme="minorEastAsia" w:eastAsiaTheme="minorEastAsia"/>
          <w:b/>
          <w:color w:val="000000" w:themeColor="text1"/>
          <w:szCs w:val="21"/>
          <w14:textFill>
            <w14:solidFill>
              <w14:schemeClr w14:val="tx1"/>
            </w14:solidFill>
          </w14:textFill>
        </w:rPr>
        <w:t>：</w:t>
      </w:r>
      <w:r>
        <w:rPr>
          <w:rFonts w:asciiTheme="minorEastAsia" w:hAnsiTheme="minorEastAsia" w:eastAsiaTheme="minorEastAsia"/>
          <w:b/>
          <w:color w:val="000000" w:themeColor="text1"/>
          <w:szCs w:val="21"/>
          <w:u w:val="single"/>
          <w14:textFill>
            <w14:solidFill>
              <w14:schemeClr w14:val="tx1"/>
            </w14:solidFill>
          </w14:textFill>
        </w:rPr>
        <w:t xml:space="preserve">                        </w:t>
      </w:r>
      <w:r>
        <w:rPr>
          <w:rFonts w:hint="eastAsia" w:asciiTheme="minorEastAsia" w:hAnsiTheme="minorEastAsia" w:eastAsiaTheme="minorEastAsia"/>
          <w:b/>
          <w:color w:val="000000" w:themeColor="text1"/>
          <w:szCs w:val="21"/>
          <w:u w:val="single"/>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 xml:space="preserve">    身份证号码：</w:t>
      </w:r>
      <w:r>
        <w:rPr>
          <w:rFonts w:asciiTheme="minorEastAsia" w:hAnsiTheme="minorEastAsia" w:eastAsiaTheme="minorEastAsia"/>
          <w:b/>
          <w:color w:val="000000" w:themeColor="text1"/>
          <w:szCs w:val="21"/>
          <w:u w:val="single"/>
          <w14:textFill>
            <w14:solidFill>
              <w14:schemeClr w14:val="tx1"/>
            </w14:solidFill>
          </w14:textFill>
        </w:rPr>
        <w:t xml:space="preserve">                         </w:t>
      </w:r>
    </w:p>
    <w:p>
      <w:pPr>
        <w:spacing w:line="560" w:lineRule="exact"/>
        <w:rPr>
          <w:rFonts w:asciiTheme="minorEastAsia" w:hAnsiTheme="minorEastAsia" w:eastAsiaTheme="minorEastAsia"/>
          <w:b/>
          <w:color w:val="000000" w:themeColor="text1"/>
          <w:szCs w:val="21"/>
          <w:u w:val="single"/>
          <w14:textFill>
            <w14:solidFill>
              <w14:schemeClr w14:val="tx1"/>
            </w14:solidFill>
          </w14:textFill>
        </w:rPr>
      </w:pPr>
      <w:r>
        <w:rPr>
          <w:rFonts w:hint="eastAsia" w:asciiTheme="minorEastAsia" w:hAnsiTheme="minorEastAsia" w:eastAsiaTheme="minorEastAsia"/>
          <w:b/>
          <w:color w:val="000000" w:themeColor="text1"/>
          <w:spacing w:val="20"/>
          <w:szCs w:val="21"/>
          <w14:textFill>
            <w14:solidFill>
              <w14:schemeClr w14:val="tx1"/>
            </w14:solidFill>
          </w14:textFill>
        </w:rPr>
        <w:t>联系电话</w:t>
      </w:r>
      <w:r>
        <w:rPr>
          <w:rFonts w:hint="eastAsia" w:asciiTheme="minorEastAsia" w:hAnsiTheme="minorEastAsia" w:eastAsiaTheme="minorEastAsia"/>
          <w:b/>
          <w:color w:val="000000" w:themeColor="text1"/>
          <w:szCs w:val="21"/>
          <w14:textFill>
            <w14:solidFill>
              <w14:schemeClr w14:val="tx1"/>
            </w14:solidFill>
          </w14:textFill>
        </w:rPr>
        <w:t>：</w:t>
      </w:r>
      <w:r>
        <w:rPr>
          <w:rFonts w:asciiTheme="minorEastAsia" w:hAnsiTheme="minorEastAsia" w:eastAsiaTheme="minorEastAsia"/>
          <w:b/>
          <w:color w:val="000000" w:themeColor="text1"/>
          <w:szCs w:val="21"/>
          <w:u w:val="single"/>
          <w14:textFill>
            <w14:solidFill>
              <w14:schemeClr w14:val="tx1"/>
            </w14:solidFill>
          </w14:textFill>
        </w:rPr>
        <w:t xml:space="preserve">                        </w:t>
      </w:r>
    </w:p>
    <w:p>
      <w:pPr>
        <w:ind w:firstLine="1054" w:firstLineChars="500"/>
        <w:rPr>
          <w:rFonts w:asciiTheme="minorEastAsia" w:hAnsiTheme="minorEastAsia" w:eastAsiaTheme="minorEastAsia"/>
          <w:b/>
          <w:color w:val="000000" w:themeColor="text1"/>
          <w:szCs w:val="21"/>
          <w:u w:val="single"/>
          <w14:textFill>
            <w14:solidFill>
              <w14:schemeClr w14:val="tx1"/>
            </w14:solidFill>
          </w14:textFill>
        </w:rPr>
      </w:pPr>
    </w:p>
    <w:p>
      <w:pPr>
        <w:keepNext w:val="0"/>
        <w:keepLines w:val="0"/>
        <w:pageBreakBefore w:val="0"/>
        <w:widowControl w:val="0"/>
        <w:kinsoku/>
        <w:wordWrap/>
        <w:overflowPunct/>
        <w:topLinePunct w:val="0"/>
        <w:bidi w:val="0"/>
        <w:spacing w:line="360" w:lineRule="exact"/>
        <w:ind w:firstLine="420"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甲方受委托，定于</w:t>
      </w:r>
      <w:r>
        <w:rPr>
          <w:rFonts w:hint="eastAsia" w:ascii="仿宋_GB2312" w:hAnsi="仿宋_GB2312" w:eastAsia="仿宋_GB2312" w:cs="仿宋_GB2312"/>
          <w:b/>
          <w:szCs w:val="21"/>
          <w:u w:val="single"/>
        </w:rPr>
        <w:t>2024年</w:t>
      </w:r>
      <w:r>
        <w:rPr>
          <w:rFonts w:hint="eastAsia" w:ascii="仿宋_GB2312" w:hAnsi="仿宋_GB2312" w:eastAsia="仿宋_GB2312" w:cs="仿宋_GB2312"/>
          <w:b/>
          <w:szCs w:val="21"/>
          <w:u w:val="single"/>
          <w:lang w:val="en-US" w:eastAsia="zh-CN"/>
        </w:rPr>
        <w:t>4</w:t>
      </w:r>
      <w:r>
        <w:rPr>
          <w:rFonts w:hint="eastAsia" w:ascii="仿宋_GB2312" w:hAnsi="仿宋_GB2312" w:eastAsia="仿宋_GB2312" w:cs="仿宋_GB2312"/>
          <w:b/>
          <w:szCs w:val="21"/>
          <w:u w:val="single"/>
        </w:rPr>
        <w:t>月</w:t>
      </w:r>
      <w:r>
        <w:rPr>
          <w:rFonts w:hint="eastAsia" w:ascii="仿宋_GB2312" w:hAnsi="仿宋_GB2312" w:eastAsia="仿宋_GB2312" w:cs="仿宋_GB2312"/>
          <w:b/>
          <w:szCs w:val="21"/>
          <w:highlight w:val="none"/>
          <w:u w:val="single"/>
        </w:rPr>
        <w:t>2</w:t>
      </w:r>
      <w:r>
        <w:rPr>
          <w:rFonts w:hint="eastAsia" w:ascii="仿宋_GB2312" w:hAnsi="仿宋_GB2312" w:eastAsia="仿宋_GB2312" w:cs="仿宋_GB2312"/>
          <w:b/>
          <w:szCs w:val="21"/>
          <w:highlight w:val="none"/>
          <w:u w:val="single"/>
          <w:lang w:val="en-US" w:eastAsia="zh-CN"/>
        </w:rPr>
        <w:t>3</w:t>
      </w:r>
      <w:r>
        <w:rPr>
          <w:rFonts w:hint="eastAsia" w:ascii="仿宋_GB2312" w:hAnsi="仿宋_GB2312" w:eastAsia="仿宋_GB2312" w:cs="仿宋_GB2312"/>
          <w:b/>
          <w:szCs w:val="21"/>
          <w:u w:val="single"/>
        </w:rPr>
        <w:t>日9:30</w:t>
      </w:r>
      <w:r>
        <w:rPr>
          <w:rFonts w:hint="eastAsia" w:ascii="仿宋_GB2312" w:hAnsi="仿宋_GB2312" w:eastAsia="仿宋_GB2312" w:cs="仿宋_GB2312"/>
          <w:color w:val="000000" w:themeColor="text1"/>
          <w:szCs w:val="21"/>
          <w14:textFill>
            <w14:solidFill>
              <w14:schemeClr w14:val="tx1"/>
            </w14:solidFill>
          </w14:textFill>
        </w:rPr>
        <w:t>在厦门市公共资源市场配置竞价系统(竞价系统网址：</w:t>
      </w: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"http://117.25.161.110:8082/ggzyscpz/)采用网络电子竞价的方式举行"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1"/>
        </w:rPr>
        <w:t xml:space="preserve"> </w:t>
      </w:r>
      <w:r>
        <w:rPr>
          <w:rStyle w:val="8"/>
          <w:rFonts w:hint="eastAsia" w:ascii="仿宋_GB2312" w:hAnsi="仿宋_GB2312" w:eastAsia="仿宋_GB2312" w:cs="仿宋_GB2312"/>
          <w:color w:val="auto"/>
          <w:szCs w:val="21"/>
          <w:u w:val="none"/>
        </w:rPr>
        <w:t>http://120.41.41.16:9101/）采用网络电子竞价的方式举行</w:t>
      </w:r>
      <w:r>
        <w:rPr>
          <w:rStyle w:val="8"/>
          <w:rFonts w:hint="eastAsia" w:ascii="仿宋_GB2312" w:hAnsi="仿宋_GB2312" w:eastAsia="仿宋_GB2312" w:cs="仿宋_GB2312"/>
          <w:color w:val="auto"/>
          <w:szCs w:val="21"/>
          <w:u w:val="none"/>
        </w:rPr>
        <w:fldChar w:fldCharType="end"/>
      </w:r>
      <w:r>
        <w:rPr>
          <w:rStyle w:val="8"/>
          <w:rFonts w:hint="eastAsia" w:ascii="仿宋_GB2312" w:hAnsi="仿宋_GB2312" w:eastAsia="仿宋_GB2312" w:cs="仿宋_GB2312"/>
          <w:b/>
          <w:color w:val="auto"/>
          <w:szCs w:val="21"/>
          <w:highlight w:val="none"/>
        </w:rPr>
        <w:t>“2023年第</w:t>
      </w:r>
      <w:r>
        <w:rPr>
          <w:rStyle w:val="8"/>
          <w:rFonts w:hint="eastAsia" w:ascii="仿宋_GB2312" w:hAnsi="仿宋_GB2312" w:eastAsia="仿宋_GB2312" w:cs="仿宋_GB2312"/>
          <w:b/>
          <w:color w:val="auto"/>
          <w:szCs w:val="21"/>
          <w:highlight w:val="none"/>
          <w:lang w:val="en-US" w:eastAsia="zh-CN"/>
        </w:rPr>
        <w:t>九</w:t>
      </w:r>
      <w:r>
        <w:rPr>
          <w:rStyle w:val="8"/>
          <w:rFonts w:hint="eastAsia" w:ascii="仿宋_GB2312" w:hAnsi="仿宋_GB2312" w:eastAsia="仿宋_GB2312" w:cs="仿宋_GB2312"/>
          <w:b/>
          <w:color w:val="auto"/>
          <w:szCs w:val="21"/>
          <w:highlight w:val="none"/>
        </w:rPr>
        <w:t>批保障房配套商业招租</w:t>
      </w:r>
      <w:r>
        <w:rPr>
          <w:rFonts w:hint="eastAsia" w:ascii="仿宋_GB2312" w:hAnsi="仿宋_GB2312" w:eastAsia="仿宋_GB2312" w:cs="仿宋_GB2312"/>
          <w:b/>
          <w:color w:val="000000" w:themeColor="text1"/>
          <w:szCs w:val="21"/>
          <w:highlight w:val="none"/>
          <w:u w:val="single"/>
          <w14:textFill>
            <w14:solidFill>
              <w14:schemeClr w14:val="tx1"/>
            </w14:solidFill>
          </w14:textFill>
        </w:rPr>
        <w:t>”</w:t>
      </w:r>
      <w:r>
        <w:rPr>
          <w:rFonts w:hint="eastAsia" w:ascii="仿宋_GB2312" w:hAnsi="仿宋_GB2312" w:eastAsia="仿宋_GB2312" w:cs="仿宋_GB2312"/>
          <w:b/>
          <w:color w:val="000000" w:themeColor="text1"/>
          <w:szCs w:val="21"/>
          <w:u w:val="single"/>
          <w14:textFill>
            <w14:solidFill>
              <w14:schemeClr w14:val="tx1"/>
            </w14:solidFill>
          </w14:textFill>
        </w:rPr>
        <w:t>项目竞价会</w:t>
      </w:r>
      <w:r>
        <w:rPr>
          <w:rFonts w:hint="eastAsia" w:ascii="仿宋_GB2312" w:hAnsi="仿宋_GB2312" w:eastAsia="仿宋_GB2312" w:cs="仿宋_GB2312"/>
          <w:b/>
          <w:color w:val="000000" w:themeColor="text1"/>
          <w:szCs w:val="21"/>
          <w14:textFill>
            <w14:solidFill>
              <w14:schemeClr w14:val="tx1"/>
            </w14:solidFill>
          </w14:textFill>
        </w:rPr>
        <w:t>，</w:t>
      </w:r>
      <w:r>
        <w:rPr>
          <w:rFonts w:hint="eastAsia" w:ascii="仿宋_GB2312" w:hAnsi="仿宋_GB2312" w:eastAsia="仿宋_GB2312" w:cs="仿宋_GB2312"/>
          <w:color w:val="000000" w:themeColor="text1"/>
          <w:szCs w:val="21"/>
          <w14:textFill>
            <w14:solidFill>
              <w14:schemeClr w14:val="tx1"/>
            </w14:solidFill>
          </w14:textFill>
        </w:rPr>
        <w:t>乙方自愿参加甲方举行的竞价会。甲、乙双方本着公开、公平、公正的原则，根据《中华人民共和国民法典》、《中华人民共和国拍卖法》、《厦门市市级公共资源市场交易规则》（厦财规[2023]2号）等相关法律、法规、规章及相关司法解释，在充分协商的基础上签订本协议。</w:t>
      </w:r>
      <w:r>
        <w:rPr>
          <w:rFonts w:hint="eastAsia" w:ascii="仿宋_GB2312" w:hAnsi="仿宋_GB2312" w:eastAsia="仿宋_GB2312" w:cs="仿宋_GB2312"/>
          <w:color w:val="000000" w:themeColor="text1"/>
          <w:szCs w:val="21"/>
          <w14:textFill>
            <w14:solidFill>
              <w14:schemeClr w14:val="tx1"/>
            </w14:solidFill>
          </w14:textFill>
        </w:rPr>
        <w:cr/>
      </w:r>
      <w:r>
        <w:rPr>
          <w:rFonts w:hint="eastAsia" w:ascii="仿宋_GB2312" w:hAnsi="仿宋_GB2312" w:eastAsia="仿宋_GB2312" w:cs="仿宋_GB2312"/>
          <w:b/>
          <w:color w:val="000000" w:themeColor="text1"/>
          <w:szCs w:val="21"/>
          <w14:textFill>
            <w14:solidFill>
              <w14:schemeClr w14:val="tx1"/>
            </w14:solidFill>
          </w14:textFill>
        </w:rPr>
        <w:t>一、竞价标的</w:t>
      </w:r>
    </w:p>
    <w:p>
      <w:pPr>
        <w:keepNext w:val="0"/>
        <w:keepLines w:val="0"/>
        <w:pageBreakBefore w:val="0"/>
        <w:widowControl w:val="0"/>
        <w:kinsoku/>
        <w:wordWrap/>
        <w:overflowPunct/>
        <w:topLinePunct w:val="0"/>
        <w:bidi w:val="0"/>
        <w:spacing w:line="360" w:lineRule="exact"/>
        <w:ind w:firstLine="422"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Style w:val="8"/>
          <w:rFonts w:hint="eastAsia" w:ascii="仿宋_GB2312" w:hAnsi="仿宋_GB2312" w:eastAsia="仿宋_GB2312" w:cs="仿宋_GB2312"/>
          <w:b/>
          <w:color w:val="auto"/>
          <w:szCs w:val="21"/>
          <w:highlight w:val="none"/>
        </w:rPr>
        <w:t>2023年第</w:t>
      </w:r>
      <w:r>
        <w:rPr>
          <w:rStyle w:val="8"/>
          <w:rFonts w:hint="eastAsia" w:ascii="仿宋_GB2312" w:hAnsi="仿宋_GB2312" w:eastAsia="仿宋_GB2312" w:cs="仿宋_GB2312"/>
          <w:b/>
          <w:color w:val="auto"/>
          <w:szCs w:val="21"/>
          <w:highlight w:val="none"/>
          <w:lang w:val="en-US" w:eastAsia="zh-CN"/>
        </w:rPr>
        <w:t>九</w:t>
      </w:r>
      <w:r>
        <w:rPr>
          <w:rStyle w:val="8"/>
          <w:rFonts w:hint="eastAsia" w:ascii="仿宋_GB2312" w:hAnsi="仿宋_GB2312" w:eastAsia="仿宋_GB2312" w:cs="仿宋_GB2312"/>
          <w:b/>
          <w:color w:val="auto"/>
          <w:szCs w:val="21"/>
          <w:highlight w:val="none"/>
        </w:rPr>
        <w:t>批保障房配套商业房产招租</w:t>
      </w:r>
      <w:r>
        <w:rPr>
          <w:rFonts w:hint="eastAsia" w:ascii="仿宋_GB2312" w:hAnsi="仿宋_GB2312" w:eastAsia="仿宋_GB2312" w:cs="仿宋_GB2312"/>
          <w:color w:val="000000" w:themeColor="text1"/>
          <w:szCs w:val="21"/>
          <w:highlight w:val="none"/>
          <w14:textFill>
            <w14:solidFill>
              <w14:schemeClr w14:val="tx1"/>
            </w14:solidFill>
          </w14:textFill>
        </w:rPr>
        <w:t>(以</w:t>
      </w:r>
      <w:r>
        <w:rPr>
          <w:rFonts w:hint="eastAsia" w:ascii="仿宋_GB2312" w:hAnsi="仿宋_GB2312" w:eastAsia="仿宋_GB2312" w:cs="仿宋_GB2312"/>
          <w:color w:val="000000" w:themeColor="text1"/>
          <w:szCs w:val="21"/>
          <w14:textFill>
            <w14:solidFill>
              <w14:schemeClr w14:val="tx1"/>
            </w14:solidFill>
          </w14:textFill>
        </w:rPr>
        <w:t>下简称“标的”)，详见附件《竞价标的清单》。</w:t>
      </w:r>
    </w:p>
    <w:p>
      <w:pPr>
        <w:keepNext w:val="0"/>
        <w:keepLines w:val="0"/>
        <w:pageBreakBefore w:val="0"/>
        <w:widowControl w:val="0"/>
        <w:kinsoku/>
        <w:wordWrap/>
        <w:overflowPunct/>
        <w:topLinePunct w:val="0"/>
        <w:bidi w:val="0"/>
        <w:spacing w:line="360" w:lineRule="exact"/>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szCs w:val="21"/>
        </w:rPr>
        <w:t>二、</w:t>
      </w:r>
      <w:r>
        <w:rPr>
          <w:rFonts w:hint="eastAsia" w:ascii="仿宋_GB2312" w:hAnsi="仿宋_GB2312" w:eastAsia="仿宋_GB2312" w:cs="仿宋_GB2312"/>
          <w:b/>
          <w:color w:val="000000" w:themeColor="text1"/>
          <w:szCs w:val="21"/>
          <w14:textFill>
            <w14:solidFill>
              <w14:schemeClr w14:val="tx1"/>
            </w14:solidFill>
          </w14:textFill>
        </w:rPr>
        <w:t>竞价标的调查义务</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竞价公告信息发布后，符合竞价人资格要求且有意参加公开竞价的意向人，在提交报名材料前，对拟出租房产、附属设施及其周围环境等进行勘察，以获取有关编制竞价相应材料和签署合同所需了解的全部情况，签字确认且在交易系统提交所有竞价文件及其附件，签字确认后即表明竞价人对标的面积、水电、房屋现状均予以确认，后续如产生异议及损失，请自行承担。出租方将为所有竞价人现场勘察提供方便，但现场勘察所发生的费用 （包括但不局限于交通费等）应由竞价人自己承担。</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本次竞价是以标的现状</w:t>
      </w:r>
      <w:r>
        <w:rPr>
          <w:rFonts w:hint="eastAsia" w:ascii="仿宋_GB2312" w:hAnsi="仿宋_GB2312" w:eastAsia="仿宋_GB2312" w:cs="仿宋_GB2312"/>
          <w:color w:val="000000" w:themeColor="text1"/>
          <w:spacing w:val="-2"/>
          <w:szCs w:val="21"/>
          <w14:textFill>
            <w14:solidFill>
              <w14:schemeClr w14:val="tx1"/>
            </w14:solidFill>
          </w14:textFill>
        </w:rPr>
        <w:t>(包括地址、面积、房屋质量现状等)</w:t>
      </w:r>
      <w:r>
        <w:rPr>
          <w:rFonts w:hint="eastAsia" w:ascii="仿宋_GB2312" w:hAnsi="仿宋_GB2312" w:eastAsia="仿宋_GB2312" w:cs="仿宋_GB2312"/>
          <w:color w:val="000000" w:themeColor="text1"/>
          <w:szCs w:val="21"/>
          <w14:textFill>
            <w14:solidFill>
              <w14:schemeClr w14:val="tx1"/>
            </w14:solidFill>
          </w14:textFill>
        </w:rPr>
        <w:t>进行竞价。甲方已经在竞价前通过</w:t>
      </w:r>
      <w:r>
        <w:rPr>
          <w:rFonts w:hint="eastAsia" w:ascii="仿宋_GB2312" w:hAnsi="仿宋_GB2312" w:eastAsia="仿宋_GB2312" w:cs="仿宋_GB2312"/>
          <w:color w:val="000000" w:themeColor="text1"/>
          <w:spacing w:val="-2"/>
          <w:szCs w:val="21"/>
          <w14:textFill>
            <w14:solidFill>
              <w14:schemeClr w14:val="tx1"/>
            </w14:solidFill>
          </w14:textFill>
        </w:rPr>
        <w:t>相关媒体及网站上进行了公告和标的展示，同时</w:t>
      </w:r>
      <w:r>
        <w:rPr>
          <w:rFonts w:hint="eastAsia" w:ascii="仿宋_GB2312" w:hAnsi="仿宋_GB2312" w:eastAsia="仿宋_GB2312" w:cs="仿宋_GB2312"/>
          <w:color w:val="000000" w:themeColor="text1"/>
          <w:szCs w:val="21"/>
          <w14:textFill>
            <w14:solidFill>
              <w14:schemeClr w14:val="tx1"/>
            </w14:solidFill>
          </w14:textFill>
        </w:rPr>
        <w:t>向乙方充分展示了标的涉及的文书材料和标的的实际状况，乙方在公告规定的展示期间内，已对标的进行了了解、咨询，自愿参加本次竞价。</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甲、乙双方签署本协议，即视为甲方已经就竞价标的的来源、瑕疵和风险向乙方完成了充分的披露和说明，同时乙方承诺自行到相关部门了解、调查标的风险，在竞价前对标的的情况和价值进行自我判定，竞价成交后甲方及委托人对于标的及标的指向的价值、面积和瑕疵等不承担担保责任。</w:t>
      </w:r>
    </w:p>
    <w:p>
      <w:pPr>
        <w:keepNext w:val="0"/>
        <w:keepLines w:val="0"/>
        <w:pageBreakBefore w:val="0"/>
        <w:widowControl w:val="0"/>
        <w:kinsoku/>
        <w:wordWrap/>
        <w:overflowPunct/>
        <w:topLinePunct w:val="0"/>
        <w:bidi w:val="0"/>
        <w:spacing w:line="360" w:lineRule="exact"/>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三、标的瑕疵担保责任的免除</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1、本次是以标的现状进行竞价，会前提供的各项数据仅供参考，甲方及委托人均不作保证。</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 xml:space="preserve">本次竞价的房产地址门牌号码、面积，以开发商在厦门市相关政府部门备案或者办理产权登记后的权证登记信息为准，未办理产权证的，以相关测绘文件或者历史移交材料为依据，现物业的图线、房产面积仅作参考，不具效力。竞价成功后，登记信息与标的现物业提供信息不符的，甲方及委托人不承担担保责任。 </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2、因建筑设计等原因，房产实际可作为经营的使用价值不同，乙方需谨慎对房产进行实地的查验。甲方及委托人对标的的实际使用效用不作保证。</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3、此次竞价的标的不以建筑面积为计价单位，甲方与委托人对每个标的的面积、质量等不作保证，标的实际建筑面积与产权登记及甲方提供的参考数据不一致的，不影响标的的成交价格。</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4、标的物《中华人民共和国不动产权证书》尚未办理，竞价人报名参加竞价即表明已知悉该情况，如拟经营需要提供《中华人民共和国不动产权证书》才能经营的项目，请不要参加本次竞拍</w:t>
      </w:r>
      <w:r>
        <w:rPr>
          <w:rFonts w:hint="eastAsia" w:ascii="仿宋_GB2312" w:hAnsi="仿宋_GB2312" w:eastAsia="仿宋_GB2312" w:cs="仿宋_GB2312"/>
          <w:color w:val="000000" w:themeColor="text1"/>
          <w:szCs w:val="21"/>
          <w14:textFill>
            <w14:solidFill>
              <w14:schemeClr w14:val="tx1"/>
            </w14:solidFill>
          </w14:textFill>
        </w:rPr>
        <w:t>。</w:t>
      </w:r>
      <w:r>
        <w:rPr>
          <w:rFonts w:hint="eastAsia" w:ascii="仿宋_GB2312" w:hAnsi="仿宋_GB2312" w:eastAsia="仿宋_GB2312" w:cs="仿宋_GB2312"/>
          <w:b/>
          <w:color w:val="000000" w:themeColor="text1"/>
          <w:szCs w:val="21"/>
          <w14:textFill>
            <w14:solidFill>
              <w14:schemeClr w14:val="tx1"/>
            </w14:solidFill>
          </w14:textFill>
        </w:rPr>
        <w:t>竞价人成为最终中标人后不得因此向招标人提出任何诉求，且竞价人应自行承担由此造成的一切后果。</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5、乙方确认并同意甲方已经通过对标的的展示，向乙方明确说明和揭示了标的的瑕疵、缺陷和风险，乙方已经通过查阅文件、现场查看标的知悉上述瑕疵、缺陷和风险，标的出现该等瑕疵、缺陷或风险的，委托人不承担任何责任，乙方成为最终中标人后不得因此要求解除本合同，且无权要求委托人及甲方对此采取任何补救措施、支付任何费用或补偿款项或承担任何损害赔偿责任(侵权责任)，也无权要求减少、降低成交价款及佣金的金额或拒绝支付成交价款及佣金。</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四、竞价资格、竞价申请及现场咨询</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竞价资格</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（一）非特定标的约定事项</w:t>
      </w:r>
    </w:p>
    <w:p>
      <w:pPr>
        <w:keepNext w:val="0"/>
        <w:keepLines w:val="0"/>
        <w:pageBreakBefore w:val="0"/>
        <w:widowControl w:val="0"/>
        <w:kinsoku/>
        <w:wordWrap/>
        <w:overflowPunct/>
        <w:topLinePunct w:val="0"/>
        <w:autoSpaceDE w:val="0"/>
        <w:autoSpaceDN w:val="0"/>
        <w:bidi w:val="0"/>
        <w:adjustRightInd w:val="0"/>
        <w:snapToGrid w:val="0"/>
        <w:spacing w:line="360" w:lineRule="exact"/>
        <w:ind w:left="420" w:left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招租条件设定：</w:t>
      </w:r>
      <w:r>
        <w:rPr>
          <w:rFonts w:hint="eastAsia" w:ascii="仿宋_GB2312" w:hAnsi="仿宋_GB2312" w:eastAsia="仿宋_GB2312" w:cs="仿宋_GB2312"/>
          <w:color w:val="000000" w:themeColor="text1"/>
          <w:szCs w:val="21"/>
          <w14:textFill>
            <w14:solidFill>
              <w14:schemeClr w14:val="tx1"/>
            </w14:solidFill>
          </w14:textFill>
        </w:rPr>
        <w:cr/>
      </w:r>
      <w:r>
        <w:rPr>
          <w:rFonts w:hint="eastAsia" w:ascii="仿宋_GB2312" w:hAnsi="仿宋_GB2312" w:eastAsia="仿宋_GB2312" w:cs="仿宋_GB2312"/>
          <w:color w:val="000000" w:themeColor="text1"/>
          <w:szCs w:val="21"/>
          <w14:textFill>
            <w14:solidFill>
              <w14:schemeClr w14:val="tx1"/>
            </w14:solidFill>
          </w14:textFill>
        </w:rPr>
        <w:t>1、租赁年限：5年；</w:t>
      </w:r>
      <w:r>
        <w:rPr>
          <w:rFonts w:hint="eastAsia" w:ascii="仿宋_GB2312" w:hAnsi="仿宋_GB2312" w:eastAsia="仿宋_GB2312" w:cs="仿宋_GB2312"/>
          <w:color w:val="000000" w:themeColor="text1"/>
          <w:szCs w:val="21"/>
          <w14:textFill>
            <w14:solidFill>
              <w14:schemeClr w14:val="tx1"/>
            </w14:solidFill>
          </w14:textFill>
        </w:rPr>
        <w:cr/>
      </w:r>
      <w:r>
        <w:rPr>
          <w:rFonts w:hint="eastAsia" w:ascii="仿宋_GB2312" w:hAnsi="仿宋_GB2312" w:eastAsia="仿宋_GB2312" w:cs="仿宋_GB2312"/>
          <w:color w:val="000000" w:themeColor="text1"/>
          <w:szCs w:val="21"/>
          <w14:textFill>
            <w14:solidFill>
              <w14:schemeClr w14:val="tx1"/>
            </w14:solidFill>
          </w14:textFill>
        </w:rPr>
        <w:t>2、免租期：免租期</w:t>
      </w:r>
      <w:r>
        <w:rPr>
          <w:rFonts w:hint="eastAsia" w:ascii="仿宋_GB2312" w:hAnsi="仿宋_GB2312" w:eastAsia="仿宋_GB2312" w:cs="仿宋_GB2312"/>
          <w:color w:val="000000" w:themeColor="text1"/>
          <w:szCs w:val="21"/>
          <w:lang w:val="en-US" w:eastAsia="zh-CN"/>
          <w14:textFill>
            <w14:solidFill>
              <w14:schemeClr w14:val="tx1"/>
            </w14:solidFill>
          </w14:textFill>
        </w:rPr>
        <w:t>一个月</w:t>
      </w:r>
      <w:r>
        <w:rPr>
          <w:rFonts w:hint="eastAsia" w:ascii="仿宋_GB2312" w:hAnsi="仿宋_GB2312" w:eastAsia="仿宋_GB2312" w:cs="仿宋_GB2312"/>
          <w:color w:val="000000" w:themeColor="text1"/>
          <w:szCs w:val="21"/>
          <w14:textFill>
            <w14:solidFill>
              <w14:schemeClr w14:val="tx1"/>
            </w14:solidFill>
          </w14:textFill>
        </w:rPr>
        <w:t>；</w:t>
      </w:r>
    </w:p>
    <w:p>
      <w:pPr>
        <w:keepNext w:val="0"/>
        <w:keepLines w:val="0"/>
        <w:pageBreakBefore w:val="0"/>
        <w:widowControl w:val="0"/>
        <w:kinsoku/>
        <w:wordWrap/>
        <w:overflowPunct/>
        <w:topLinePunct w:val="0"/>
        <w:autoSpaceDE w:val="0"/>
        <w:autoSpaceDN w:val="0"/>
        <w:bidi w:val="0"/>
        <w:adjustRightInd w:val="0"/>
        <w:snapToGrid w:val="0"/>
        <w:spacing w:line="360" w:lineRule="exact"/>
        <w:ind w:left="420" w:left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3、租金收取方式：自第二个计租年度起，租金在实际中标价的基础上逐年递增5%；</w:t>
      </w:r>
      <w:r>
        <w:rPr>
          <w:rFonts w:hint="eastAsia" w:ascii="仿宋_GB2312" w:hAnsi="仿宋_GB2312" w:eastAsia="仿宋_GB2312" w:cs="仿宋_GB2312"/>
          <w:color w:val="000000" w:themeColor="text1"/>
          <w:szCs w:val="21"/>
          <w14:textFill>
            <w14:solidFill>
              <w14:schemeClr w14:val="tx1"/>
            </w14:solidFill>
          </w14:textFill>
        </w:rPr>
        <w:cr/>
      </w:r>
      <w:r>
        <w:rPr>
          <w:rFonts w:hint="eastAsia" w:ascii="仿宋_GB2312" w:hAnsi="仿宋_GB2312" w:eastAsia="仿宋_GB2312" w:cs="仿宋_GB2312"/>
          <w:color w:val="000000" w:themeColor="text1"/>
          <w:szCs w:val="21"/>
          <w14:textFill>
            <w14:solidFill>
              <w14:schemeClr w14:val="tx1"/>
            </w14:solidFill>
          </w14:textFill>
        </w:rPr>
        <w:t>4、本次招租的标的作为小区生活配套的商业用房，仅允许经营同时符合以下条件的行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r>
        <w:rPr>
          <w:rFonts w:hint="eastAsia" w:ascii="仿宋_GB2312" w:hAnsi="仿宋_GB2312" w:eastAsia="仿宋_GB2312" w:cs="仿宋_GB2312"/>
          <w:color w:val="000000" w:themeColor="text1"/>
          <w:szCs w:val="21"/>
          <w:lang w:eastAsia="zh-CN"/>
          <w14:textFill>
            <w14:solidFill>
              <w14:schemeClr w14:val="tx1"/>
            </w14:solidFill>
          </w14:textFill>
        </w:rPr>
        <w:t>。</w:t>
      </w:r>
      <w:r>
        <w:rPr>
          <w:rFonts w:hint="eastAsia" w:ascii="仿宋_GB2312" w:hAnsi="仿宋_GB2312" w:eastAsia="仿宋_GB2312" w:cs="仿宋_GB2312"/>
          <w:color w:val="000000" w:themeColor="text1"/>
          <w:szCs w:val="21"/>
          <w14:textFill>
            <w14:solidFill>
              <w14:schemeClr w14:val="tx1"/>
            </w14:solidFill>
          </w14:textFill>
        </w:rPr>
        <w:cr/>
      </w:r>
      <w:r>
        <w:rPr>
          <w:rFonts w:hint="eastAsia" w:ascii="仿宋_GB2312" w:hAnsi="仿宋_GB2312" w:eastAsia="仿宋_GB2312" w:cs="仿宋_GB2312"/>
          <w:color w:val="000000" w:themeColor="text1"/>
          <w:szCs w:val="21"/>
          <w14:textFill>
            <w14:solidFill>
              <w14:schemeClr w14:val="tx1"/>
            </w14:solidFill>
          </w14:textFill>
        </w:rPr>
        <w:t>5、竞价资格：</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highlight w:val="none"/>
          <w14:textFill>
            <w14:solidFill>
              <w14:schemeClr w14:val="tx1"/>
            </w14:solidFill>
          </w14:textFill>
        </w:rPr>
      </w:pPr>
      <w:r>
        <w:rPr>
          <w:rFonts w:hint="eastAsia" w:ascii="仿宋_GB2312" w:hAnsi="仿宋_GB2312" w:eastAsia="仿宋_GB2312" w:cs="仿宋_GB2312"/>
          <w:bCs/>
          <w:color w:val="000000" w:themeColor="text1"/>
          <w:szCs w:val="21"/>
          <w:highlight w:val="none"/>
          <w14:textFill>
            <w14:solidFill>
              <w14:schemeClr w14:val="tx1"/>
            </w14:solidFill>
          </w14:textFill>
        </w:rPr>
        <w:t>（</w:t>
      </w:r>
      <w:r>
        <w:rPr>
          <w:rFonts w:hint="eastAsia" w:ascii="仿宋_GB2312" w:hAnsi="仿宋_GB2312" w:eastAsia="仿宋_GB2312" w:cs="仿宋_GB2312"/>
          <w:color w:val="000000" w:themeColor="text1"/>
          <w:szCs w:val="21"/>
          <w:highlight w:val="none"/>
          <w14:textFill>
            <w14:solidFill>
              <w14:schemeClr w14:val="tx1"/>
            </w14:solidFill>
          </w14:textFill>
        </w:rPr>
        <w:t>1）竞价人必须是具有完全民事行为能力的自然人，以及依法设立的法人和其他组织；</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highlight w:val="none"/>
          <w14:textFill>
            <w14:solidFill>
              <w14:schemeClr w14:val="tx1"/>
            </w14:solidFill>
          </w14:textFill>
        </w:rPr>
      </w:pPr>
      <w:r>
        <w:rPr>
          <w:rFonts w:hint="eastAsia" w:ascii="仿宋_GB2312" w:hAnsi="仿宋_GB2312" w:eastAsia="仿宋_GB2312" w:cs="仿宋_GB2312"/>
          <w:color w:val="000000" w:themeColor="text1"/>
          <w:szCs w:val="21"/>
          <w:highlight w:val="none"/>
          <w14:textFill>
            <w14:solidFill>
              <w14:schemeClr w14:val="tx1"/>
            </w14:solidFill>
          </w14:textFill>
        </w:rPr>
        <w:t>（2）未被列入社会信用系统严重失信主体名单，主要为失信被执行人、重大税收违法案件当事人、海关失信认证企业名单以及安全生产、出入境检验检疫等领域的严重失信主体名单，政府采购严重违法失信行为记录名单等。通过“信用中国（福建厦门）”（https://credit.xm.gov.cn/）、“中国执行信息公开网”（http://zxgk.court.gov.cn/）、“中国政府采购网”（http://www.ccgp.gov.cn/）等公开渠道查询的本单位信用记录，不存在《中华人民共和国政府采购法实施条例》第十九条规定的行政处罚记录等。</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竞价申请：</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（一）交易系统登录方式：安装并打开助盾安全客户端，用证书登录后请使用主流浏览器(谷歌浏览器、360浏览器、Microsoft Edge、火狐浏览器)输入资产资源交易系统(http://120.41.41.16:9101)，打开网页后，点击“CA证书登录”登陆系统，按照竞买人操作手册进行相关操作。</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登录入口：厦门市公共资源交易网(https://zyjy.as.xm.gov.cn/)首页-交易信息-行政事业资产资源交易栏目下方：厦门市资产资源交易系统入口。</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二）竞价人申请报名前3个工作日内须完成企业CA数字证书(介质证书)或个人标识证书(软证书)的办理。使用已持有省统一CA数字证书、福建政府采购专用CA数字证书的竞价人，首次登录须在福建省公共资源交易电子公共服务平台下的“公共资源交易CA互认（投标单位省统一登录）”进行注册，账户注册后，可通过“厦门市资产资源交易系统”登录页面-“省统一登录”进行登录操作，无需另行办理CA数字证书。自然人可通过可信身份认证管理平台(http://ra.jdsafe.com/web/#/index)免费办理个人标识证书，具体操作步骤详见厦门市公共资源交易网（https://zyjy.as.xm.gov.cn/）首页-通知动态-重要通知-“厦门市公共资源交易中心关于厦门市资产资源交易系统上线试运行的通知”附件《个人标识证书申请操作手册》。</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（三）报名时间：</w:t>
      </w:r>
      <w:r>
        <w:rPr>
          <w:rFonts w:hint="eastAsia" w:ascii="仿宋_GB2312" w:hAnsi="仿宋_GB2312" w:eastAsia="仿宋_GB2312" w:cs="仿宋_GB2312"/>
          <w:b/>
          <w:bCs/>
          <w:color w:val="000000" w:themeColor="text1"/>
          <w:szCs w:val="21"/>
          <w:highlight w:val="none"/>
          <w14:textFill>
            <w14:solidFill>
              <w14:schemeClr w14:val="tx1"/>
            </w14:solidFill>
          </w14:textFill>
        </w:rPr>
        <w:t>2024年</w:t>
      </w:r>
      <w:r>
        <w:rPr>
          <w:rFonts w:hint="eastAsia" w:ascii="仿宋_GB2312" w:hAnsi="仿宋_GB2312" w:eastAsia="仿宋_GB2312" w:cs="仿宋_GB2312"/>
          <w:b/>
          <w:bCs/>
          <w:color w:val="000000" w:themeColor="text1"/>
          <w:szCs w:val="21"/>
          <w:highlight w:val="none"/>
          <w:lang w:val="en-US" w:eastAsia="zh-CN"/>
          <w14:textFill>
            <w14:solidFill>
              <w14:schemeClr w14:val="tx1"/>
            </w14:solidFill>
          </w14:textFill>
        </w:rPr>
        <w:t>4</w:t>
      </w:r>
      <w:r>
        <w:rPr>
          <w:rFonts w:hint="eastAsia" w:ascii="仿宋_GB2312" w:hAnsi="仿宋_GB2312" w:eastAsia="仿宋_GB2312" w:cs="仿宋_GB2312"/>
          <w:b/>
          <w:bCs/>
          <w:color w:val="000000" w:themeColor="text1"/>
          <w:szCs w:val="21"/>
          <w:highlight w:val="none"/>
          <w14:textFill>
            <w14:solidFill>
              <w14:schemeClr w14:val="tx1"/>
            </w14:solidFill>
          </w14:textFill>
        </w:rPr>
        <w:t>月</w:t>
      </w:r>
      <w:r>
        <w:rPr>
          <w:rFonts w:hint="eastAsia" w:ascii="仿宋_GB2312" w:hAnsi="仿宋_GB2312" w:eastAsia="仿宋_GB2312" w:cs="仿宋_GB2312"/>
          <w:b/>
          <w:bCs/>
          <w:color w:val="000000" w:themeColor="text1"/>
          <w:szCs w:val="21"/>
          <w:highlight w:val="none"/>
          <w:lang w:val="en-US" w:eastAsia="zh-CN"/>
          <w14:textFill>
            <w14:solidFill>
              <w14:schemeClr w14:val="tx1"/>
            </w14:solidFill>
          </w14:textFill>
        </w:rPr>
        <w:t>18</w:t>
      </w:r>
      <w:r>
        <w:rPr>
          <w:rFonts w:hint="eastAsia" w:ascii="仿宋_GB2312" w:hAnsi="仿宋_GB2312" w:eastAsia="仿宋_GB2312" w:cs="仿宋_GB2312"/>
          <w:b/>
          <w:bCs/>
          <w:color w:val="000000" w:themeColor="text1"/>
          <w:szCs w:val="21"/>
          <w:highlight w:val="none"/>
          <w14:textFill>
            <w14:solidFill>
              <w14:schemeClr w14:val="tx1"/>
            </w14:solidFill>
          </w14:textFill>
        </w:rPr>
        <w:t>日9:00-2024年</w:t>
      </w:r>
      <w:r>
        <w:rPr>
          <w:rFonts w:hint="eastAsia" w:ascii="仿宋_GB2312" w:hAnsi="仿宋_GB2312" w:eastAsia="仿宋_GB2312" w:cs="仿宋_GB2312"/>
          <w:b/>
          <w:bCs/>
          <w:color w:val="000000" w:themeColor="text1"/>
          <w:szCs w:val="21"/>
          <w:highlight w:val="none"/>
          <w:lang w:val="en-US" w:eastAsia="zh-CN"/>
          <w14:textFill>
            <w14:solidFill>
              <w14:schemeClr w14:val="tx1"/>
            </w14:solidFill>
          </w14:textFill>
        </w:rPr>
        <w:t>4</w:t>
      </w:r>
      <w:r>
        <w:rPr>
          <w:rFonts w:hint="eastAsia" w:ascii="仿宋_GB2312" w:hAnsi="仿宋_GB2312" w:eastAsia="仿宋_GB2312" w:cs="仿宋_GB2312"/>
          <w:b/>
          <w:bCs/>
          <w:color w:val="000000" w:themeColor="text1"/>
          <w:szCs w:val="21"/>
          <w:highlight w:val="none"/>
          <w14:textFill>
            <w14:solidFill>
              <w14:schemeClr w14:val="tx1"/>
            </w14:solidFill>
          </w14:textFill>
        </w:rPr>
        <w:t>月</w:t>
      </w:r>
      <w:r>
        <w:rPr>
          <w:rFonts w:hint="eastAsia" w:ascii="仿宋_GB2312" w:hAnsi="仿宋_GB2312" w:eastAsia="仿宋_GB2312" w:cs="仿宋_GB2312"/>
          <w:b/>
          <w:bCs/>
          <w:color w:val="000000" w:themeColor="text1"/>
          <w:szCs w:val="21"/>
          <w:highlight w:val="none"/>
          <w:lang w:val="en-US" w:eastAsia="zh-CN"/>
          <w14:textFill>
            <w14:solidFill>
              <w14:schemeClr w14:val="tx1"/>
            </w14:solidFill>
          </w14:textFill>
        </w:rPr>
        <w:t>22</w:t>
      </w:r>
      <w:r>
        <w:rPr>
          <w:rFonts w:hint="eastAsia" w:ascii="仿宋_GB2312" w:hAnsi="仿宋_GB2312" w:eastAsia="仿宋_GB2312" w:cs="仿宋_GB2312"/>
          <w:b/>
          <w:bCs/>
          <w:color w:val="000000" w:themeColor="text1"/>
          <w:szCs w:val="21"/>
          <w:highlight w:val="none"/>
          <w14:textFill>
            <w14:solidFill>
              <w14:schemeClr w14:val="tx1"/>
            </w14:solidFill>
          </w14:textFill>
        </w:rPr>
        <w:t>日17:00，</w:t>
      </w:r>
      <w:r>
        <w:rPr>
          <w:rFonts w:hint="eastAsia" w:ascii="仿宋_GB2312" w:hAnsi="仿宋_GB2312" w:eastAsia="仿宋_GB2312" w:cs="仿宋_GB2312"/>
          <w:color w:val="000000" w:themeColor="text1"/>
          <w:szCs w:val="21"/>
          <w14:textFill>
            <w14:solidFill>
              <w14:schemeClr w14:val="tx1"/>
            </w14:solidFill>
          </w14:textFill>
        </w:rPr>
        <w:t>竞价人请在报名有效期内登录厦门市资产资源交易系统首页“操作视频”栏，熟悉操作流程。</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四）单位竞价人须准备营业执照(复印件盖公章)、法人身份证件(复印件本人签字按手印、盖公章)、经办人身份证件(复印件本人签字按手印、盖公章)、授权委托书原件、竞价保证金银行转账凭证（公对公转账）等，上述材料均扫描/拍照后，上传至交易系统；</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自然人竞价人须准备身份证件(复印件本人签字按手印)、竞价保证金银行转账凭证等，上述材料均扫描/拍照后，上传至交易系统 ；</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color w:val="000000" w:themeColor="text1"/>
          <w:szCs w:val="21"/>
          <w14:textFill>
            <w14:solidFill>
              <w14:schemeClr w14:val="tx1"/>
            </w14:solidFill>
          </w14:textFill>
        </w:rPr>
        <w:t>（五）本协议书及所有附件，包括</w:t>
      </w:r>
      <w:r>
        <w:rPr>
          <w:rFonts w:hint="eastAsia" w:ascii="仿宋_GB2312" w:hAnsi="仿宋_GB2312" w:eastAsia="仿宋_GB2312" w:cs="仿宋_GB2312"/>
          <w:szCs w:val="21"/>
        </w:rPr>
        <w:t>《竞价标的清单》、《房屋租赁合同（商业</w:t>
      </w:r>
      <w:r>
        <w:rPr>
          <w:rFonts w:hint="eastAsia" w:ascii="仿宋_GB2312" w:hAnsi="仿宋_GB2312" w:eastAsia="仿宋_GB2312" w:cs="仿宋_GB2312"/>
          <w:szCs w:val="21"/>
          <w:lang w:val="en-US" w:eastAsia="zh-CN"/>
        </w:rPr>
        <w:t>类</w:t>
      </w:r>
      <w:r>
        <w:rPr>
          <w:rFonts w:hint="eastAsia" w:ascii="仿宋_GB2312" w:hAnsi="仿宋_GB2312" w:eastAsia="仿宋_GB2312" w:cs="仿宋_GB2312"/>
          <w:szCs w:val="21"/>
        </w:rPr>
        <w:t>）》样稿，竞价人应按照要求在申请报名时在系统报名页面-所需材料处进行电子签章确认（本协议结尾竞价人落款处及骑缝）。不能通过电子签章实现的，必须另行提交签字(按手印)/盖章确认过的对应附件扫描件或清晰照片以供审核。</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（六）享有优先承租权的权利人，还须在申请报名时提交《</w:t>
      </w:r>
      <w:r>
        <w:rPr>
          <w:rFonts w:hint="eastAsia" w:ascii="仿宋_GB2312" w:hAnsi="仿宋_GB2312" w:eastAsia="仿宋_GB2312" w:cs="仿宋_GB2312"/>
          <w:color w:val="000000" w:themeColor="text1"/>
          <w:szCs w:val="21"/>
          <w:lang w:val="en-US" w:eastAsia="zh-CN"/>
          <w14:textFill>
            <w14:solidFill>
              <w14:schemeClr w14:val="tx1"/>
            </w14:solidFill>
          </w14:textFill>
        </w:rPr>
        <w:t>房屋</w:t>
      </w:r>
      <w:r>
        <w:rPr>
          <w:rFonts w:hint="eastAsia" w:ascii="仿宋_GB2312" w:hAnsi="仿宋_GB2312" w:eastAsia="仿宋_GB2312" w:cs="仿宋_GB2312"/>
          <w:color w:val="000000" w:themeColor="text1"/>
          <w:szCs w:val="21"/>
          <w14:textFill>
            <w14:solidFill>
              <w14:schemeClr w14:val="tx1"/>
            </w14:solidFill>
          </w14:textFill>
        </w:rPr>
        <w:t>租赁合同》或者其他证明文件，报名参加《</w:t>
      </w:r>
      <w:r>
        <w:rPr>
          <w:rFonts w:hint="eastAsia" w:ascii="仿宋_GB2312" w:hAnsi="仿宋_GB2312" w:eastAsia="仿宋_GB2312" w:cs="仿宋_GB2312"/>
          <w:color w:val="000000" w:themeColor="text1"/>
          <w:szCs w:val="21"/>
          <w:lang w:val="en-US" w:eastAsia="zh-CN"/>
          <w14:textFill>
            <w14:solidFill>
              <w14:schemeClr w14:val="tx1"/>
            </w14:solidFill>
          </w14:textFill>
        </w:rPr>
        <w:t>租赁</w:t>
      </w:r>
      <w:r>
        <w:rPr>
          <w:rFonts w:hint="eastAsia" w:ascii="仿宋_GB2312" w:hAnsi="仿宋_GB2312" w:eastAsia="仿宋_GB2312" w:cs="仿宋_GB2312"/>
          <w:color w:val="000000" w:themeColor="text1"/>
          <w:szCs w:val="21"/>
          <w14:textFill>
            <w14:solidFill>
              <w14:schemeClr w14:val="tx1"/>
            </w14:solidFill>
          </w14:textFill>
        </w:rPr>
        <w:t>租赁合同》或者其他证明文件所指标的承租权的竞价，并经委托人确认后，方可取得优先承租权。</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七）根据相关规则要求，所有竞价人的竞价资料须经审核通过后，方可取得竞价资格。意向竞价人应在报名有效期内提供(包含但不仅限于补充材料、更正材料)真实资料，因意向竞价人提供不实资料、进行虚假陈述、隐瞒事实真相、超期提交/补充/更正材料所造成的一切后果，应自行承担相应的法律责任及后果。</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现场咨询：</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highlight w:val="none"/>
          <w14:textFill>
            <w14:solidFill>
              <w14:schemeClr w14:val="tx1"/>
            </w14:solidFill>
          </w14:textFill>
        </w:rPr>
        <w:t>甲方将于</w:t>
      </w:r>
      <w:r>
        <w:rPr>
          <w:rFonts w:hint="eastAsia" w:ascii="仿宋_GB2312" w:hAnsi="仿宋_GB2312" w:eastAsia="仿宋_GB2312" w:cs="仿宋_GB2312"/>
          <w:b/>
          <w:szCs w:val="21"/>
          <w:highlight w:val="none"/>
        </w:rPr>
        <w:t>2024年</w:t>
      </w:r>
      <w:r>
        <w:rPr>
          <w:rFonts w:hint="eastAsia" w:ascii="仿宋_GB2312" w:hAnsi="仿宋_GB2312" w:eastAsia="仿宋_GB2312" w:cs="仿宋_GB2312"/>
          <w:b/>
          <w:szCs w:val="21"/>
          <w:highlight w:val="none"/>
          <w:lang w:val="en-US" w:eastAsia="zh-CN"/>
        </w:rPr>
        <w:t>4</w:t>
      </w:r>
      <w:r>
        <w:rPr>
          <w:rFonts w:hint="eastAsia" w:ascii="仿宋_GB2312" w:hAnsi="仿宋_GB2312" w:eastAsia="仿宋_GB2312" w:cs="仿宋_GB2312"/>
          <w:b/>
          <w:szCs w:val="21"/>
          <w:highlight w:val="none"/>
        </w:rPr>
        <w:t>月</w:t>
      </w:r>
      <w:r>
        <w:rPr>
          <w:rFonts w:hint="eastAsia" w:ascii="仿宋_GB2312" w:hAnsi="仿宋_GB2312" w:eastAsia="仿宋_GB2312" w:cs="仿宋_GB2312"/>
          <w:b/>
          <w:szCs w:val="21"/>
          <w:highlight w:val="none"/>
          <w:lang w:val="en-US" w:eastAsia="zh-CN"/>
        </w:rPr>
        <w:t>18</w:t>
      </w:r>
      <w:r>
        <w:rPr>
          <w:rFonts w:hint="eastAsia" w:ascii="仿宋_GB2312" w:hAnsi="仿宋_GB2312" w:eastAsia="仿宋_GB2312" w:cs="仿宋_GB2312"/>
          <w:b/>
          <w:szCs w:val="21"/>
          <w:highlight w:val="none"/>
        </w:rPr>
        <w:t>日9:00-12:00、13:</w:t>
      </w:r>
      <w:r>
        <w:rPr>
          <w:rFonts w:hint="eastAsia" w:ascii="仿宋_GB2312" w:hAnsi="仿宋_GB2312" w:eastAsia="仿宋_GB2312" w:cs="仿宋_GB2312"/>
          <w:b/>
          <w:szCs w:val="21"/>
          <w:highlight w:val="none"/>
          <w:lang w:val="en-US" w:eastAsia="zh-CN"/>
        </w:rPr>
        <w:t>3</w:t>
      </w:r>
      <w:r>
        <w:rPr>
          <w:rFonts w:hint="eastAsia" w:ascii="仿宋_GB2312" w:hAnsi="仿宋_GB2312" w:eastAsia="仿宋_GB2312" w:cs="仿宋_GB2312"/>
          <w:b/>
          <w:szCs w:val="21"/>
          <w:highlight w:val="none"/>
        </w:rPr>
        <w:t>0-17:00在云</w:t>
      </w:r>
      <w:r>
        <w:rPr>
          <w:rFonts w:hint="eastAsia" w:ascii="仿宋_GB2312" w:hAnsi="仿宋_GB2312" w:eastAsia="仿宋_GB2312" w:cs="仿宋_GB2312"/>
          <w:b/>
          <w:color w:val="000000" w:themeColor="text1"/>
          <w:szCs w:val="21"/>
          <w:highlight w:val="none"/>
          <w14:textFill>
            <w14:solidFill>
              <w14:schemeClr w14:val="tx1"/>
            </w14:solidFill>
          </w14:textFill>
        </w:rPr>
        <w:t>顶北路842号市政务服务中心四楼信息发布大厅21号窗口接受乙方现场咨询</w:t>
      </w:r>
      <w:r>
        <w:rPr>
          <w:rFonts w:hint="eastAsia" w:ascii="仿宋_GB2312" w:hAnsi="仿宋_GB2312" w:eastAsia="仿宋_GB2312" w:cs="仿宋_GB2312"/>
          <w:b/>
          <w:color w:val="000000" w:themeColor="text1"/>
          <w:szCs w:val="21"/>
          <w14:textFill>
            <w14:solidFill>
              <w14:schemeClr w14:val="tx1"/>
            </w14:solidFill>
          </w14:textFill>
        </w:rPr>
        <w:t>，乙方如须咨询，请在前述时间内前往窗口咨询，逾期请采用电话咨询方式。</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五、竞价保证金</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1、乙方参加标的竞价应交纳标的对应的竞价保证金，有意竞得多个意向标的的竞价人应当缴纳对应每个标的的竞价保证金。</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竞价保证金应在</w:t>
      </w:r>
      <w:r>
        <w:rPr>
          <w:rFonts w:hint="eastAsia" w:ascii="仿宋_GB2312" w:hAnsi="仿宋_GB2312" w:eastAsia="仿宋_GB2312" w:cs="仿宋_GB2312"/>
          <w:b/>
          <w:szCs w:val="21"/>
        </w:rPr>
        <w:t>2024年</w:t>
      </w:r>
      <w:r>
        <w:rPr>
          <w:rFonts w:hint="eastAsia" w:ascii="仿宋_GB2312" w:hAnsi="仿宋_GB2312" w:eastAsia="仿宋_GB2312" w:cs="仿宋_GB2312"/>
          <w:b/>
          <w:szCs w:val="21"/>
          <w:highlight w:val="none"/>
          <w:lang w:val="en-US" w:eastAsia="zh-CN"/>
        </w:rPr>
        <w:t>4</w:t>
      </w:r>
      <w:r>
        <w:rPr>
          <w:rFonts w:hint="eastAsia" w:ascii="仿宋_GB2312" w:hAnsi="仿宋_GB2312" w:eastAsia="仿宋_GB2312" w:cs="仿宋_GB2312"/>
          <w:b/>
          <w:szCs w:val="21"/>
          <w:highlight w:val="none"/>
        </w:rPr>
        <w:t>月</w:t>
      </w:r>
      <w:r>
        <w:rPr>
          <w:rFonts w:hint="eastAsia" w:ascii="仿宋_GB2312" w:hAnsi="仿宋_GB2312" w:eastAsia="仿宋_GB2312" w:cs="仿宋_GB2312"/>
          <w:b/>
          <w:szCs w:val="21"/>
          <w:highlight w:val="none"/>
          <w:lang w:val="en-US" w:eastAsia="zh-CN"/>
        </w:rPr>
        <w:t>22</w:t>
      </w:r>
      <w:r>
        <w:rPr>
          <w:rFonts w:hint="eastAsia" w:ascii="仿宋_GB2312" w:hAnsi="仿宋_GB2312" w:eastAsia="仿宋_GB2312" w:cs="仿宋_GB2312"/>
          <w:b/>
          <w:szCs w:val="21"/>
          <w:highlight w:val="none"/>
        </w:rPr>
        <w:t>日17:00时前汇至</w:t>
      </w:r>
      <w:r>
        <w:rPr>
          <w:rFonts w:hint="eastAsia" w:ascii="仿宋_GB2312" w:hAnsi="仿宋_GB2312" w:eastAsia="仿宋_GB2312" w:cs="仿宋_GB2312"/>
          <w:b/>
          <w:szCs w:val="21"/>
        </w:rPr>
        <w:t>甲方指定账户</w:t>
      </w:r>
      <w:r>
        <w:rPr>
          <w:rFonts w:hint="eastAsia" w:ascii="仿宋_GB2312" w:hAnsi="仿宋_GB2312" w:eastAsia="仿宋_GB2312" w:cs="仿宋_GB2312"/>
          <w:szCs w:val="21"/>
        </w:rPr>
        <w:t>，并在申请报名时提交保证金缴款凭证。竞价保证金以银行实际到账时间为准。</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2、乙方成功竞得标的后，已缴纳的竞价保证金转为履约保证金；若乙方缴纳多份保证金的，乙方承诺已缴纳的全部保证金均按照前款规定执行；留存至甲方的履约保证金，待乙方与委托人签订《</w:t>
      </w:r>
      <w:r>
        <w:rPr>
          <w:rFonts w:hint="eastAsia" w:ascii="仿宋_GB2312" w:hAnsi="仿宋_GB2312" w:eastAsia="仿宋_GB2312" w:cs="仿宋_GB2312"/>
          <w:bCs/>
          <w:szCs w:val="21"/>
        </w:rPr>
        <w:t>房屋租赁合同（商业）</w:t>
      </w:r>
      <w:r>
        <w:rPr>
          <w:rFonts w:hint="eastAsia" w:ascii="仿宋_GB2312" w:hAnsi="仿宋_GB2312" w:eastAsia="仿宋_GB2312" w:cs="仿宋_GB2312"/>
          <w:szCs w:val="21"/>
        </w:rPr>
        <w:t>》并支付甲方竞价佣金后退还至乙方预留银行账户，竞价佣金甲方有权从留存至甲方的履约保证金中扣划；甲方及竞价人确认，本合同约定的竞价保证金及履约保证金与委托人无关，甲方及竞价人不得就此向委托人主张任何权利。</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3、行使优先承租权的竞价人未竞得对应标的，未在规定时限内清空腾退房屋，造成标的房屋不能移交给最终竞得人使用的，其所交纳的竞价保证金不予退还。</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szCs w:val="21"/>
        </w:rPr>
        <w:t>4、如乙方未能竞得标的，竞价保证金在成交结果公示7日无异议后的5个工</w:t>
      </w:r>
      <w:r>
        <w:rPr>
          <w:rFonts w:hint="eastAsia" w:ascii="仿宋_GB2312" w:hAnsi="仿宋_GB2312" w:eastAsia="仿宋_GB2312" w:cs="仿宋_GB2312"/>
          <w:color w:val="000000" w:themeColor="text1"/>
          <w:szCs w:val="21"/>
          <w14:textFill>
            <w14:solidFill>
              <w14:schemeClr w14:val="tx1"/>
            </w14:solidFill>
          </w14:textFill>
        </w:rPr>
        <w:t>作日内全额无息退还至乙方预留银行账户。</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5、如乙方未通过资格审核，竞价保证金在资格审查结束之日起3个工作日内全额无息退还至乙方预留银行账户。</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六、竞价操作</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（一）竞价人对自己申请的证书安全负责，应自行保管好CA数字证书或个人标识证书，任何使用竞价人证书登录交易系统的用户，在交易系统中的一切行为均视为该竞价人本人的行为，由竞价人自行负责。</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CA数字证书或个人标识证书只是登陆系统的首要条件，是否具有相关标的竞价资格须待审查确认。</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竞价人应及时关注审核情况，资格审查提示须补充提交材料或更正材料的，应在报名有效期内及时提交，否则影响资格审查结果。报名有效期内未及时提交补充材料或更正材料的，资格审查不通过。</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竞价人资格审核通过后，安装并打开助盾安全客户端，用证书登录后请使用主流浏览器（谷歌浏览器、360浏览器、Microsoft Edge、火狐浏览器）输入资产资源交易系统(http://120.41.41.16:9101)，打开网页后，点击“CA证书登录”登陆系统，按照竞价人操作手册进行相关操作。</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二）竞价人应提前登陆交易系统熟悉竞价环境，并在厦门市公共资源交易网发布的《信息公告》载明的竞价会开始时间前20分钟登录系统等待竞价开始。竞价人应尽量采用高带宽、高性能、安全的网络环境。鉴于互联网环境可能存在的延时等不可抗因素，竞价人应尽量在自由报价期内充分出价，在延时报价期内及时出价。</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（三）本次竞价采用网络电子竞价方式进行，竞价的起止时间以交易系统的服务器时间为准。请竞价人根据竞价人操作手册了解并熟知该场竞价会的相关流程。</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1、竞价顺序</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本次竞价共为</w:t>
      </w:r>
      <w:r>
        <w:rPr>
          <w:rFonts w:hint="eastAsia" w:ascii="仿宋_GB2312" w:hAnsi="仿宋_GB2312" w:eastAsia="仿宋_GB2312" w:cs="仿宋_GB2312"/>
          <w:b/>
          <w:szCs w:val="21"/>
          <w:lang w:val="en-US" w:eastAsia="zh-CN"/>
        </w:rPr>
        <w:t>6</w:t>
      </w:r>
      <w:r>
        <w:rPr>
          <w:rFonts w:hint="eastAsia" w:ascii="仿宋_GB2312" w:hAnsi="仿宋_GB2312" w:eastAsia="仿宋_GB2312" w:cs="仿宋_GB2312"/>
          <w:b/>
          <w:szCs w:val="21"/>
        </w:rPr>
        <w:t>个标的</w:t>
      </w:r>
      <w:r>
        <w:rPr>
          <w:rFonts w:hint="eastAsia" w:ascii="仿宋_GB2312" w:hAnsi="仿宋_GB2312" w:eastAsia="仿宋_GB2312" w:cs="仿宋_GB2312"/>
          <w:szCs w:val="21"/>
        </w:rPr>
        <w:t>（</w:t>
      </w:r>
      <w:r>
        <w:rPr>
          <w:rFonts w:hint="eastAsia" w:ascii="仿宋_GB2312" w:hAnsi="仿宋_GB2312" w:eastAsia="仿宋_GB2312" w:cs="仿宋_GB2312"/>
          <w:color w:val="000000" w:themeColor="text1"/>
          <w:szCs w:val="21"/>
          <w14:textFill>
            <w14:solidFill>
              <w14:schemeClr w14:val="tx1"/>
            </w14:solidFill>
          </w14:textFill>
        </w:rPr>
        <w:t>详见附件《竞价标的清单》），甲方将在信息公告发布前设置好所有委托标的的竞价开始时间、延时报价开始时间，所有标的将按设置好的时间进入报价阶段。各个标的竞价时间为自由报价期加上延时报价开始时间。</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2、报价时间</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本次竞价各个标的自由报价期开始时间以电子竞价系统的服务器时间为准。竞价人应根据自已参与的标的竞价时间，提前登陆交易系统，进行出价。</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各标的竞价自由报价期</w:t>
      </w:r>
      <w:r>
        <w:rPr>
          <w:rFonts w:hint="eastAsia" w:ascii="仿宋_GB2312" w:hAnsi="仿宋_GB2312" w:eastAsia="仿宋_GB2312" w:cs="仿宋_GB2312"/>
          <w:b/>
          <w:szCs w:val="21"/>
        </w:rPr>
        <w:t>5分钟</w:t>
      </w:r>
      <w:r>
        <w:rPr>
          <w:rFonts w:hint="eastAsia" w:ascii="仿宋_GB2312" w:hAnsi="仿宋_GB2312" w:eastAsia="仿宋_GB2312" w:cs="仿宋_GB2312"/>
          <w:color w:val="000000" w:themeColor="text1"/>
          <w:szCs w:val="21"/>
          <w14:textFill>
            <w14:solidFill>
              <w14:schemeClr w14:val="tx1"/>
            </w14:solidFill>
          </w14:textFill>
        </w:rPr>
        <w:t>，自由报价结束后立即自动进入延时报价期。延时报价期可由多个延时报价周期组成，每个延时报价周期为</w:t>
      </w:r>
      <w:r>
        <w:rPr>
          <w:rFonts w:hint="eastAsia" w:ascii="仿宋_GB2312" w:hAnsi="仿宋_GB2312" w:eastAsia="仿宋_GB2312" w:cs="仿宋_GB2312"/>
          <w:b/>
          <w:szCs w:val="21"/>
        </w:rPr>
        <w:t>2分钟</w:t>
      </w:r>
      <w:r>
        <w:rPr>
          <w:rFonts w:hint="eastAsia" w:ascii="仿宋_GB2312" w:hAnsi="仿宋_GB2312" w:eastAsia="仿宋_GB2312" w:cs="仿宋_GB2312"/>
          <w:color w:val="000000" w:themeColor="text1"/>
          <w:szCs w:val="21"/>
          <w14:textFill>
            <w14:solidFill>
              <w14:schemeClr w14:val="tx1"/>
            </w14:solidFill>
          </w14:textFill>
        </w:rPr>
        <w:t>。在一个延时报价周期内，如出现有效报价，则立即自动进入新一轮的延时报价周期；在一个延时报价周期内如未出现有效报价，则本次竞价结束。自由报价期竞价人可以多次报价，当竞价人为最高报价时，无法再次出价超越自己。</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3、报价的有效性</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竞价会的首个报价只需不低于标的底价即为有效。</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第二个报价起，以人民币</w:t>
      </w:r>
      <w:r>
        <w:rPr>
          <w:rFonts w:hint="eastAsia" w:ascii="仿宋_GB2312" w:hAnsi="仿宋_GB2312" w:eastAsia="仿宋_GB2312" w:cs="仿宋_GB2312"/>
          <w:color w:val="000000" w:themeColor="text1"/>
          <w:szCs w:val="21"/>
          <w:u w:val="single"/>
          <w14:textFill>
            <w14:solidFill>
              <w14:schemeClr w14:val="tx1"/>
            </w14:solidFill>
          </w14:textFill>
        </w:rPr>
        <w:t xml:space="preserve"> </w:t>
      </w:r>
      <w:r>
        <w:rPr>
          <w:rFonts w:hint="eastAsia" w:ascii="仿宋_GB2312" w:hAnsi="仿宋_GB2312" w:eastAsia="仿宋_GB2312" w:cs="仿宋_GB2312"/>
          <w:szCs w:val="21"/>
          <w:u w:val="single"/>
        </w:rPr>
        <w:t>拾元/月</w:t>
      </w:r>
      <w:r>
        <w:rPr>
          <w:rFonts w:hint="eastAsia" w:ascii="仿宋_GB2312" w:hAnsi="仿宋_GB2312" w:eastAsia="仿宋_GB2312" w:cs="仿宋_GB2312"/>
          <w:color w:val="000000" w:themeColor="text1"/>
          <w:szCs w:val="21"/>
          <w14:textFill>
            <w14:solidFill>
              <w14:schemeClr w14:val="tx1"/>
            </w14:solidFill>
          </w14:textFill>
        </w:rPr>
        <w:t xml:space="preserve"> （详见附件《竞价标的清单》）为基本报价单位，报价中含有基本报价单位以下金额的，系统将自动舍去基本报价单位以下的金额为有效报价。</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第二个报价起，每次报价不得低于当前最高有效报价加上系统设定的最低加价幅度（详见本协议书附件《竞价标的清单》），不限最高报价，当竞价人为最高报价时，无法再次出价超越自己。</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4、最终中标人的确定</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竞价会各项标的竞价结束时的最高有效报价被认定为中标价，该竞价人也被认定为该项标的的最终中标人。报价一经确认提交，不可修改或撤销，竞价人应对自己的报价行为负责，一经报价即为有效，不得以任何理由对抗自己报价的法律效果。各竞价人应谨慎思考，合理报价。</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七、特别约定与网络竞价风险提示</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如在报名期间内办理该项标的竞价登记的竞价人仅有一人，委托人同意以标的底价成交，且竞出价格不低于标的底价，该竞价自动中标；如在竞价期间内无人在底价之上（含底价）出价，则本轮竞价活动自动终止。</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 xml:space="preserve">2、发生下列情形之一的，主持人有权中止、终结竞价活动或在竞价活动结束后宣布结果为无效: </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1）系统服务器所处互联网络或中心网络出现故障的；</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2）系统服务器硬件或软件等出现故障的；</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3）包括但不限于标的权属不符、标的性状改变等原因而使竞价活动产生争议的；</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4）发现竞价标的存在违反法律法规、政府规章规定不得转让或应当中止转让的或发现竞价人竞价存在违法或违规情形可能会影响到竞价活动的公开、公平、公正进行的；</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5）其它甲方认为需要中止或终结竞价活动的情形。</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竞价活动中止、终结或竞价结果为无效的，甲方可择期按其它公开、公平、公正的方式重新竞价，相关事宜将另行通知各竞价人。</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3、因竞价人如下行为产生的一切后果，甲方不承担任何责任:</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1）未提前完成CA数字证书或个人标识证书的办理，导致错过报名时间；</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2）所提交的信息不真实、不准确或不完整的；</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3）未及时关注甲方、委托人发布的竞价活动相关的公告，未及时登录系统参加竞价的；</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4）竞价人因以下原因未能登录系统参加竞价的：</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(1)自身报价终端设备故障和互联网络异常；</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(2)自身通信设备故障；</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pacing w:val="-4"/>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w:t>
      </w:r>
      <w:r>
        <w:rPr>
          <w:rFonts w:hint="eastAsia" w:ascii="仿宋_GB2312" w:hAnsi="仿宋_GB2312" w:eastAsia="仿宋_GB2312" w:cs="仿宋_GB2312"/>
        </w:rPr>
        <w:t xml:space="preserve"> </w:t>
      </w:r>
      <w:r>
        <w:rPr>
          <w:rFonts w:hint="eastAsia" w:ascii="仿宋_GB2312" w:hAnsi="仿宋_GB2312" w:eastAsia="仿宋_GB2312" w:cs="仿宋_GB2312"/>
          <w:color w:val="000000" w:themeColor="text1"/>
          <w:spacing w:val="-4"/>
          <w:szCs w:val="21"/>
          <w14:textFill>
            <w14:solidFill>
              <w14:schemeClr w14:val="tx1"/>
            </w14:solidFill>
          </w14:textFill>
        </w:rPr>
        <w:t>竞价人自身终端设备时间与竞价系统服务器不符的(竞价活动的时间以竞价系统服务器时间为准)。</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4、网上竞价风险：</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1）互联网是全球公共网络，并不受任何一个机构所控制。数据在互联网上传输的途径不是完全确定的。互联网本身并不是绝对安全可靠的环境；</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2）在互联网上传输的数据有可能被某些个人、团体或机构通过某种渠道获得；</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3）互联网上的数据传输可能因通信繁忙出现延迟，或因其他原因出现停顿、中断或数据不完全、数据错误等情况，从而使系统服务出现延迟、停顿或中断；</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4）互联网上发布的各种信息可能出现错误；</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5）竞价人在系统上身份可能会被仿冒。网上竞价人自身计算机性能、质量、病毒、故障及其他原因，可能会影响响应时间或数据，给甲方和委托人带来损失；</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6）竞价人自身计算机应用操作能力及互联网知识的缺乏带来损失；</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7）竞价人自身的疏乎造成证书密码泄漏，可能会给本人及甲方造成损失；</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8）竞价人必须充分估计上述原因导致网上出价不同所带来的风险，如果发生上述情况以及本人操作差错所造成的损失由竞价人承担，甲方不负有任何责任。</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八、成交价款、竞价佣金</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竞价成交后，甲方、乙方及委托方依次在交易系统线上进行《成交结果确认书》的签章。竞价结果公示期满无异议后，在《成交结果确认书》约定的期限内各方签署《房屋租赁合同》，有优先承租权人的标的如由非优先承租权人竞得，房屋按腾退后的现状交付使用，如出租方未能在40天内（自最终竞得人确认公示日起）组织签订租赁合同，最终竞得人必须放弃标的房屋的承租权，且最终竞得人不得向出租方和甲方有任何权益主张。</w:t>
      </w:r>
    </w:p>
    <w:p>
      <w:pPr>
        <w:keepNext w:val="0"/>
        <w:keepLines w:val="0"/>
        <w:pageBreakBefore w:val="0"/>
        <w:widowControl w:val="0"/>
        <w:kinsoku/>
        <w:wordWrap/>
        <w:overflowPunct/>
        <w:topLinePunct w:val="0"/>
        <w:bidi w:val="0"/>
        <w:spacing w:line="360" w:lineRule="exact"/>
        <w:ind w:firstLine="422" w:firstLineChars="200"/>
        <w:textAlignment w:val="auto"/>
        <w:rPr>
          <w:rFonts w:hint="eastAsia" w:ascii="仿宋_GB2312" w:hAnsi="仿宋_GB2312" w:eastAsia="仿宋_GB2312" w:cs="仿宋_GB2312"/>
          <w:b/>
          <w:szCs w:val="21"/>
        </w:rPr>
      </w:pPr>
      <w:r>
        <w:rPr>
          <w:rFonts w:hint="eastAsia" w:ascii="仿宋_GB2312" w:hAnsi="仿宋_GB2312" w:eastAsia="仿宋_GB2312" w:cs="仿宋_GB2312"/>
          <w:b/>
          <w:szCs w:val="21"/>
        </w:rPr>
        <w:t>2、竞价佣金：竞价成交后，按每项标的成交总额（承租年数租金总额），以以下标准累进计算竞价佣金：标的成交额在100万元以下部分，收取1%；超过100万元至500万元(含)的部分，收取0.25%；超过500万元至1000万元(含)的部分，收取0.2%；超过1000万元至5000万元(含)的部分，收取0.025%；超过5000万元的部分，收取0.02%。成交人须在签订《房屋租赁合同》后三个工作日内向甲方支付竞价佣金，甲方有权从留存至甲方的履约保证金中扣划。</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3、付款期限：竞价成交后，最终中标人须按本协议及《房屋租赁合同（商业）》约定支付成交标的价款及佣金。</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b/>
          <w:szCs w:val="21"/>
        </w:rPr>
      </w:pPr>
      <w:r>
        <w:rPr>
          <w:rFonts w:hint="eastAsia" w:ascii="仿宋_GB2312" w:hAnsi="仿宋_GB2312" w:eastAsia="仿宋_GB2312" w:cs="仿宋_GB2312"/>
          <w:b/>
          <w:szCs w:val="21"/>
        </w:rPr>
        <w:t>九、竞价标的的交付与转移</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1、竞价结果公示期结束后，成交标的在《成交结果确认书》约定的期限内各方签署《房屋租赁合同（商业）》，如委托方要求线下签署的以委托方通知为准。有优先承租权人的标的如由非优先承租权人竞得，房屋按腾退后的现状交付使用，如出租方未能在40天内（自最终竞得人确认公示日起）组织签订租赁合同，最终竞得人必须放弃标的房屋的承租权，且最终竞得人不得向出租方和甲方有任何权益主张。</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若中标人延期签订合同时间或超过委托人通知时间的，委托人有权取消中标人中标资格，竞价保证金不予退还，竞价标的另行招租。</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szCs w:val="21"/>
        </w:rPr>
        <w:t>2、招租人保证对标的拥有依法出租的权利，但因故不能提供房屋权证、平面图、</w:t>
      </w:r>
      <w:r>
        <w:rPr>
          <w:rFonts w:hint="eastAsia" w:ascii="仿宋_GB2312" w:hAnsi="仿宋_GB2312" w:eastAsia="仿宋_GB2312" w:cs="仿宋_GB2312"/>
          <w:color w:val="000000" w:themeColor="text1"/>
          <w:szCs w:val="21"/>
          <w14:textFill>
            <w14:solidFill>
              <w14:schemeClr w14:val="tx1"/>
            </w14:solidFill>
          </w14:textFill>
        </w:rPr>
        <w:t>消防验收意见书等证件，最终中标人如有需要请自行解决，招租人不再提供协助。</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逾期未签订合同，按照有关法律规定承担相应的法律责任。承租人因不可抗力或者自身原因不能履行租赁合同的，招租人可重新组织招租。</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highlight w:val="yellow"/>
          <w14:textFill>
            <w14:solidFill>
              <w14:schemeClr w14:val="tx1"/>
            </w14:solidFill>
          </w14:textFill>
        </w:rPr>
      </w:pPr>
      <w:r>
        <w:rPr>
          <w:rFonts w:hint="eastAsia" w:ascii="仿宋_GB2312" w:hAnsi="仿宋_GB2312" w:eastAsia="仿宋_GB2312" w:cs="仿宋_GB2312"/>
          <w:color w:val="000000" w:themeColor="text1"/>
          <w:szCs w:val="21"/>
          <w:highlight w:val="none"/>
          <w14:textFill>
            <w14:solidFill>
              <w14:schemeClr w14:val="tx1"/>
            </w14:solidFill>
          </w14:textFill>
        </w:rPr>
        <w:t>本批次合同拟生效时间2024年</w:t>
      </w:r>
      <w:r>
        <w:rPr>
          <w:rFonts w:hint="eastAsia" w:ascii="仿宋_GB2312" w:hAnsi="仿宋_GB2312" w:eastAsia="仿宋_GB2312" w:cs="仿宋_GB2312"/>
          <w:color w:val="000000" w:themeColor="text1"/>
          <w:szCs w:val="21"/>
          <w:highlight w:val="none"/>
          <w:lang w:val="en-US" w:eastAsia="zh-CN"/>
          <w14:textFill>
            <w14:solidFill>
              <w14:schemeClr w14:val="tx1"/>
            </w14:solidFill>
          </w14:textFill>
        </w:rPr>
        <w:t>5</w:t>
      </w:r>
      <w:r>
        <w:rPr>
          <w:rFonts w:hint="eastAsia" w:ascii="仿宋_GB2312" w:hAnsi="仿宋_GB2312" w:eastAsia="仿宋_GB2312" w:cs="仿宋_GB2312"/>
          <w:color w:val="000000" w:themeColor="text1"/>
          <w:szCs w:val="21"/>
          <w:highlight w:val="none"/>
          <w14:textFill>
            <w14:solidFill>
              <w14:schemeClr w14:val="tx1"/>
            </w14:solidFill>
          </w14:textFill>
        </w:rPr>
        <w:t>月17日。</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承租人可对租赁房屋进行装修或改造，但敲墙/装修/改造/设备安装方案应事先以书面方式征得招标人及物业管理处书面同意并向相关主管部门（如消防、环保、卫生等）申请取得相关批文批件后方可施工，招标人将视承租人装修/改造情况酌情收取装修恢复保证金，收取标准如下：</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（1）装修恢复保证金计算方式为测算单价*工程量*X年通货膨胀率，其中X年通货膨胀率为1.07（合同终止年份-装修年份-1）。</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（2）装修工程保证金收取测算参考标准，如下所示：</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①砌墙体</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（a）规格：普通砖墙，墙体厚度12厘米，含砌墙、抹水泥、抹涂料等工序，每平方米240元；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（b）规格：普通砖墙，墙体厚度18厘米，含砌墙、抹水泥、抹涂料等工序，每平方米270元；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（c）规格：普通砖墙，墙体厚度24厘米，含砌墙、抹水泥、抹涂料等工序，每平方米300元。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②拆墙体</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（a）墙体厚度12厘米，含拆除墙体、土头清运等工序，每平方米60元；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（b）墙体厚度18厘米，含拆除墙体、土头清运等工序，每平方米80元；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（c）墙体厚度24厘米，含拆除墙体、土头清运等工序，每平方米100元。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③管道拆除/恢复</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（a）原卫生间拆除、管道封闭，现需管道恢复等（含高档马桶1个、高档洗手盆1个、污水管2米、给水管3米、排水管3米、电源线5米）一套2200元；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（b）原卫生间拆除、管道封闭，现需管道恢复等（含中档马桶1个、中档洗手盆1个、污水管2米、给水管3米、排水管3米、电源线5米）一套1750元。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④店面钢筋混凝土楼梯拆除/恢复</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店面钢筋混凝土楼梯拆除/恢复包含如下项目，根据实际工程量计算：</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（a）直形楼梯（两跑），项目特征为C30预拌泵送混凝土（整体楼梯），每平方米220元；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（b）楼梯圈梁，项目特征为C30预拌泵送混凝土（楼梯圈梁），每立方米880元；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（c）现浇构件钢筋，项目特征为：现浇构件带肋钢筋HRB400以内 (直径≤10mm) ；现浇构件带肋钢筋HRB400以内 (直径12-18mm) ；现浇构件带肋钢筋HRB400以内 (直径20-25mm) ，每吨6000元；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（d）钢筋植筋，项目特征为：采用A级结构胶；植筋：圈梁钢筋d≤20，板筋植筋d≤12；钢筋孔洞清孔；钢筋等级：HRB400.，每个20元；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（e）模板支撑，项目特征为楼梯板模板、圈梁模板及支撑，每平方米190元；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（f）金属扶手、栏杆、栏板，项目特征为：铸铁栏杆扶手；栏杆高度≥0.9m，间距≤0.11m，每米400元。</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（3）装修恢复保证金收取参考标准将根据市场原材料价格、人工成本变化适时更新。</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4、其他：</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租赁期内，以租赁房屋所在地为注册地址的商事主体，若该商事主体为个体商户，则其营业执照上的经营者为承租户本人，若该商事主体为公司法人或合伙企业则股东或合伙人之一须为承租人本人。须在开业一个月内将全部证照报委托人备案存档。</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2)商用停车位由属地物业管理公司统一规划，有偿使用。</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请各意向竞价人在竞价报名前及竞价过程中充分考虑自身和外围对店面经营可能产生的影响，合理预估后续经营的风险承受能力，理性参与竞价。竞价活动各环节均具有相应的法律效力，意向竞价人报名竞价，即视为理解并自愿接受相关法律法规和竞价协议书的约束，一旦中标，均须诚信履约，不得以任何理由为由主张无条件毁约或租金减免。</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4）承租人在报名前应自行对意向标的是否符合其业态规划，进行充分了解和考量，包括但不限于使用该意向标的开办承租人规划的业态能否通过相关部门的批准、能否取得相关证照等。经营过程中需严格遵守《厦门市环境保护条例》，如经营过程中产生扰民行为，导致周边居民信访，且拒不整改的，将与其解除租赁合同。</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5）租赁期间，不排除存在相关方于店面周边公共区域增设公共设施的可能性，包括但不限于在店面周边公共区域设置电动自行车停车棚、摆放健身器械等。</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6）租赁期间，如项目存在店面共用设施设备（包括但不限于隔油池、电梯等），承租人因生产经营需要使用上述设施设备的，请自行与属地物业联系报备并承担相关费用。</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7）承租人在报名前应自行对意向标的是否符合其业态规划，进行充分了解和考量，包括但不限于使用该意向标的开办承租人规划的业态能否通过相关部门的批准、能否取得相关证照等。经营过程中需严格遵守《厦门市环境保护条例》，符合国家法律法规规定的行业，完全符合消防、环保等相关法律法规要求的行业；不会产生噪音扰民的行业；不会产生油烟扰民的餐饮行业，不得使用明火，不得从事废品回收行业。如经营过程中产生噪音扰民等行为，导致周边居民信访，且拒不整改的，将与其解除租赁合同。</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8）竞价清单中店面备注内容为温馨提醒，竞价人须自行对租赁房屋及其附属设备设施的现状（注：此处现状特指租赁房屋交接时的现状，目前非空置房屋交接时的现状为原承租人搬离并拆除其自行增设的设备设施后的状态）、周边环境、物业管理情况等进行现场察看及充分了解。</w:t>
      </w:r>
      <w:r>
        <w:rPr>
          <w:rFonts w:hint="eastAsia" w:ascii="仿宋_GB2312" w:hAnsi="仿宋_GB2312" w:eastAsia="仿宋_GB2312" w:cs="仿宋_GB2312"/>
          <w:b/>
          <w:bCs/>
          <w:color w:val="000000" w:themeColor="text1"/>
          <w:szCs w:val="21"/>
          <w14:textFill>
            <w14:solidFill>
              <w14:schemeClr w14:val="tx1"/>
            </w14:solidFill>
          </w14:textFill>
        </w:rPr>
        <w:t>竞价人已经通过查阅文件、现场查看标的知悉上述瑕疵、缺陷和风险，标的出现该等瑕疵、缺陷或风险的，招标人不承担任何责任，竞价人成为最终中标人后不得因此要求解除本合同，且无权要求招标人对此采取任何补救措施、支付任何费用或补偿款项或承担任何损害赔偿责任(侵权责任)，也无权要求减少、降低成交价款或拒绝支付成交价款。</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9）</w:t>
      </w:r>
      <w:r>
        <w:rPr>
          <w:rFonts w:hint="eastAsia" w:ascii="仿宋_GB2312" w:hAnsi="仿宋_GB2312" w:eastAsia="仿宋_GB2312" w:cs="仿宋_GB2312"/>
          <w:b/>
          <w:bCs/>
          <w:color w:val="000000" w:themeColor="text1"/>
          <w:szCs w:val="21"/>
          <w14:textFill>
            <w14:solidFill>
              <w14:schemeClr w14:val="tx1"/>
            </w14:solidFill>
          </w14:textFill>
        </w:rPr>
        <w:t>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我司将视为严重违反《竞价公告》及《竞价协议书》相关约定，可采取包括但不限于取消最终中标人资格、不予返还竞价保证金等措施。</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十、甲方的提示和说明</w:t>
      </w:r>
    </w:p>
    <w:p>
      <w:pPr>
        <w:keepNext w:val="0"/>
        <w:keepLines w:val="0"/>
        <w:pageBreakBefore w:val="0"/>
        <w:widowControl w:val="0"/>
        <w:kinsoku/>
        <w:wordWrap/>
        <w:overflowPunct/>
        <w:topLinePunct w:val="0"/>
        <w:bidi w:val="0"/>
        <w:spacing w:line="360" w:lineRule="exact"/>
        <w:ind w:firstLine="420" w:firstLineChars="200"/>
        <w:textAlignment w:val="auto"/>
        <w:rPr>
          <w:rFonts w:hint="eastAsia" w:ascii="仿宋_GB2312" w:hAnsi="仿宋_GB2312" w:eastAsia="仿宋_GB2312" w:cs="仿宋_GB2312"/>
          <w:color w:val="000000" w:themeColor="text1"/>
          <w:szCs w:val="21"/>
          <w:lang w:val="en-US" w:eastAsia="zh-CN"/>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1、标的租赁期限均为五年，标的成交价为第一年度月租金(自计租起始日当月起满12个月，以此类推)，自第二个计租年度起，租金在实际中标价的基础上逐年递增5%</w:t>
      </w:r>
      <w:r>
        <w:rPr>
          <w:rFonts w:hint="eastAsia" w:ascii="仿宋_GB2312" w:hAnsi="仿宋_GB2312" w:eastAsia="仿宋_GB2312" w:cs="仿宋_GB2312"/>
          <w:color w:val="000000" w:themeColor="text1"/>
          <w:szCs w:val="21"/>
          <w:lang w:val="en-US" w:eastAsia="zh-CN"/>
          <w14:textFill>
            <w14:solidFill>
              <w14:schemeClr w14:val="tx1"/>
            </w14:solidFill>
          </w14:textFill>
        </w:rPr>
        <w:t>。</w:t>
      </w:r>
    </w:p>
    <w:p>
      <w:pPr>
        <w:keepNext w:val="0"/>
        <w:keepLines w:val="0"/>
        <w:pageBreakBefore w:val="0"/>
        <w:widowControl w:val="0"/>
        <w:kinsoku/>
        <w:wordWrap/>
        <w:overflowPunct/>
        <w:topLinePunct w:val="0"/>
        <w:bidi w:val="0"/>
        <w:spacing w:line="360" w:lineRule="exact"/>
        <w:ind w:firstLine="420" w:firstLineChars="200"/>
        <w:textAlignment w:val="auto"/>
        <w:rPr>
          <w:rFonts w:hint="eastAsia" w:ascii="仿宋_GB2312" w:hAnsi="仿宋_GB2312" w:eastAsia="仿宋_GB2312" w:cs="仿宋_GB2312"/>
          <w:color w:val="000000" w:themeColor="text1"/>
          <w:szCs w:val="21"/>
          <w:lang w:val="en-US" w:eastAsia="zh-CN"/>
          <w14:textFill>
            <w14:solidFill>
              <w14:schemeClr w14:val="tx1"/>
            </w14:solidFill>
          </w14:textFill>
        </w:rPr>
      </w:pPr>
      <w:r>
        <w:rPr>
          <w:rFonts w:hint="eastAsia" w:ascii="仿宋_GB2312" w:hAnsi="仿宋_GB2312" w:eastAsia="仿宋_GB2312" w:cs="仿宋_GB2312"/>
          <w:color w:val="000000" w:themeColor="text1"/>
          <w:szCs w:val="21"/>
          <w:lang w:val="en-US" w:eastAsia="zh-CN"/>
          <w14:textFill>
            <w14:solidFill>
              <w14:schemeClr w14:val="tx1"/>
            </w14:solidFill>
          </w14:textFill>
        </w:rPr>
        <w:t>2、标的免租期1个月（免租期将通过在装修培育期中进行租金扣减并分摊方式予以实现。例如1个月免租期，将在三个月装修培育期中分摊实收两个月租金，以此类推，具体以招标人后续拟定的租金明细表为准。装修培育期内，物业管理服务费、水费、电费及其它费用正常计收。若因承租人原因致使合同提前解除或终止的，招标人有权要求承租人按如下标准补足装修培育期间租金差额：计算公式为：(剩余合同未履行期间/合同总期间)×（装修培育期结束后第一期的月租金-装修培育期月租金）×装修培育期（月）。承租人须在合同解除或终止之日起3日内将相应的租金差额支付给招标人）。</w:t>
      </w:r>
    </w:p>
    <w:p>
      <w:pPr>
        <w:keepNext w:val="0"/>
        <w:keepLines w:val="0"/>
        <w:pageBreakBefore w:val="0"/>
        <w:widowControl w:val="0"/>
        <w:kinsoku/>
        <w:wordWrap/>
        <w:overflowPunct/>
        <w:topLinePunct w:val="0"/>
        <w:bidi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lang w:val="en-US" w:eastAsia="zh-CN"/>
          <w14:textFill>
            <w14:solidFill>
              <w14:schemeClr w14:val="tx1"/>
            </w14:solidFill>
          </w14:textFill>
        </w:rPr>
        <w:t>3</w:t>
      </w:r>
      <w:r>
        <w:rPr>
          <w:rFonts w:hint="eastAsia" w:ascii="仿宋_GB2312" w:hAnsi="仿宋_GB2312" w:eastAsia="仿宋_GB2312" w:cs="仿宋_GB2312"/>
          <w:color w:val="000000" w:themeColor="text1"/>
          <w:szCs w:val="21"/>
          <w14:textFill>
            <w14:solidFill>
              <w14:schemeClr w14:val="tx1"/>
            </w14:solidFill>
          </w14:textFill>
        </w:rPr>
        <w:t>、本次招租的标的作为小区生活配套的商业用房，仅允许经营同时符合以下条件的行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pPr>
        <w:keepNext w:val="0"/>
        <w:keepLines w:val="0"/>
        <w:pageBreakBefore w:val="0"/>
        <w:widowControl w:val="0"/>
        <w:kinsoku/>
        <w:wordWrap/>
        <w:overflowPunct/>
        <w:topLinePunct w:val="0"/>
        <w:bidi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lang w:val="en-US" w:eastAsia="zh-CN"/>
          <w14:textFill>
            <w14:solidFill>
              <w14:schemeClr w14:val="tx1"/>
            </w14:solidFill>
          </w14:textFill>
        </w:rPr>
        <w:t>4</w:t>
      </w:r>
      <w:r>
        <w:rPr>
          <w:rFonts w:hint="eastAsia" w:ascii="仿宋_GB2312" w:hAnsi="仿宋_GB2312" w:eastAsia="仿宋_GB2312" w:cs="仿宋_GB2312"/>
          <w:color w:val="000000" w:themeColor="text1"/>
          <w:szCs w:val="21"/>
          <w14:textFill>
            <w14:solidFill>
              <w14:schemeClr w14:val="tx1"/>
            </w14:solidFill>
          </w14:textFill>
        </w:rPr>
        <w:t>、未经出租方书面同意，承租人不得改变房屋用途。承租人不得对所承租房产转让、转租、转包、转借、承租权抵押、联营或以任何形式引入第三方。</w:t>
      </w:r>
    </w:p>
    <w:p>
      <w:pPr>
        <w:keepNext w:val="0"/>
        <w:keepLines w:val="0"/>
        <w:pageBreakBefore w:val="0"/>
        <w:widowControl w:val="0"/>
        <w:kinsoku/>
        <w:wordWrap/>
        <w:overflowPunct/>
        <w:topLinePunct w:val="0"/>
        <w:bidi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lang w:val="en-US" w:eastAsia="zh-CN"/>
          <w14:textFill>
            <w14:solidFill>
              <w14:schemeClr w14:val="tx1"/>
            </w14:solidFill>
          </w14:textFill>
        </w:rPr>
        <w:t>5</w:t>
      </w:r>
      <w:r>
        <w:rPr>
          <w:rFonts w:hint="eastAsia" w:ascii="仿宋_GB2312" w:hAnsi="仿宋_GB2312" w:eastAsia="仿宋_GB2312" w:cs="仿宋_GB2312"/>
          <w:color w:val="000000" w:themeColor="text1"/>
          <w:szCs w:val="21"/>
          <w14:textFill>
            <w14:solidFill>
              <w14:schemeClr w14:val="tx1"/>
            </w14:solidFill>
          </w14:textFill>
        </w:rPr>
        <w:t>、原承租人对所承租的房屋享有同等价位的优先承租权，原承租人须在规定的报名截止时间之前，交纳竞价保证金，还须在申请报名时提交《租赁合同》或者其他证明文件，报名参加《租赁合同》或者其他证明文件所指标的承租权的竞价，逾期视为放弃该项权利；</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lang w:val="en-US" w:eastAsia="zh-CN"/>
          <w14:textFill>
            <w14:solidFill>
              <w14:schemeClr w14:val="tx1"/>
            </w14:solidFill>
          </w14:textFill>
        </w:rPr>
        <w:t>6</w:t>
      </w:r>
      <w:r>
        <w:rPr>
          <w:rFonts w:hint="eastAsia" w:ascii="仿宋_GB2312" w:hAnsi="仿宋_GB2312" w:eastAsia="仿宋_GB2312" w:cs="仿宋_GB2312"/>
          <w:color w:val="000000" w:themeColor="text1"/>
          <w:szCs w:val="21"/>
          <w14:textFill>
            <w14:solidFill>
              <w14:schemeClr w14:val="tx1"/>
            </w14:solidFill>
          </w14:textFill>
        </w:rPr>
        <w:t>、如行使优先承租权的权利人未竞得对应标的，并未在规定时限内清空腾退房屋，造成标的房屋不能移交给最终竞得人使用时，行使优先承租权的权利人必须承担甲方的服务佣金，相应金额由甲方从行使优先承租权的权利人缴交的竞价保证金中扣除。</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lang w:val="en-US" w:eastAsia="zh-CN"/>
          <w14:textFill>
            <w14:solidFill>
              <w14:schemeClr w14:val="tx1"/>
            </w14:solidFill>
          </w14:textFill>
        </w:rPr>
        <w:t>7</w:t>
      </w:r>
      <w:r>
        <w:rPr>
          <w:rFonts w:hint="eastAsia" w:ascii="仿宋_GB2312" w:hAnsi="仿宋_GB2312" w:eastAsia="仿宋_GB2312" w:cs="仿宋_GB2312"/>
          <w:color w:val="000000" w:themeColor="text1"/>
          <w:szCs w:val="21"/>
          <w14:textFill>
            <w14:solidFill>
              <w14:schemeClr w14:val="tx1"/>
            </w14:solidFill>
          </w14:textFill>
        </w:rPr>
        <w:t>、如行使优先承租权的权利人未竞得对应标的，并未在规定时限内(自最终竞得人确认公示日起30天内)清空腾退房屋，造成标的房屋不能移交给最终竞得人使用时，自最终竞得人确认公示日起40天后，最终竞得人必须放弃承租标的房屋的承租权，且最终竞得人不得向出租方和甲方有任何权益主张。</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lang w:val="en-US" w:eastAsia="zh-CN"/>
          <w14:textFill>
            <w14:solidFill>
              <w14:schemeClr w14:val="tx1"/>
            </w14:solidFill>
          </w14:textFill>
        </w:rPr>
        <w:t>8</w:t>
      </w:r>
      <w:r>
        <w:rPr>
          <w:rFonts w:hint="eastAsia" w:ascii="仿宋_GB2312" w:hAnsi="仿宋_GB2312" w:eastAsia="仿宋_GB2312" w:cs="仿宋_GB2312"/>
          <w:color w:val="000000" w:themeColor="text1"/>
          <w:szCs w:val="21"/>
          <w14:textFill>
            <w14:solidFill>
              <w14:schemeClr w14:val="tx1"/>
            </w14:solidFill>
          </w14:textFill>
        </w:rPr>
        <w:t>、出租方按标的现状的数量和品质移交标的房屋，竞价意向人应熟知《房屋租赁合同》全文条款；</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9</w:t>
      </w:r>
      <w:r>
        <w:rPr>
          <w:rFonts w:hint="eastAsia" w:ascii="仿宋_GB2312" w:hAnsi="仿宋_GB2312" w:eastAsia="仿宋_GB2312" w:cs="仿宋_GB2312"/>
          <w:szCs w:val="21"/>
        </w:rPr>
        <w:t>、甲方提示乙方：乙方应对本次竞价的标的作充分了解和必要价值判断，对自己的竞价行为负责，甲方提供的竞价资料和工作人员的介绍及评价均为参考性意见，不构成对竞价标的的任何保证。乙方不得以此为借口，作为竞价后反悔的理由，不得要求委托人和甲方修改成交结果确认书、退回竞价成交款及竞价佣金或要求委托人和甲方给予经济赔偿。竞价标的情况以现状察看为准，有关标的资料是对标的的一般性介绍，仅为参考性说明，不构成对标的的担保，也不具任何法律效力。标的的任何瑕疵及风险等不影响成交结果。</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10</w:t>
      </w:r>
      <w:r>
        <w:rPr>
          <w:rFonts w:hint="eastAsia" w:ascii="仿宋_GB2312" w:hAnsi="仿宋_GB2312" w:eastAsia="仿宋_GB2312" w:cs="仿宋_GB2312"/>
          <w:szCs w:val="21"/>
        </w:rPr>
        <w:t>、甲方提示乙方：与该竞价标的有关数据资料以委托人提供的相关资料内容为准，由于委托人提供的相关资料不实给乙方造成损失的，甲方不承担任何责任。</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甲方提示乙方：乙方应对竞价会当中自己的应价行为负责，一经应价即为有效，不得以任何理由（包括但不仅限于：其他竞价人是否具备竞价资格、其他竞价人的应价是否对乙方的应价造成影响等）对抗自己应价的法律效果。</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rPr>
        <w:t>、甲方提示乙方：乙方应如实提供背景资料，倘若因乙方提供不实资料，进行虚假陈述，隐瞒事实真相，导致竞价成交后，被有权机构撤消竞价结果或竞价结果不被确认，或竞价标的无法办理登记手续，乙方将按其做出的承诺和保证，自行承担相应的法律责任及后果。</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b/>
          <w:szCs w:val="21"/>
        </w:rPr>
      </w:pPr>
      <w:r>
        <w:rPr>
          <w:rFonts w:hint="eastAsia" w:ascii="仿宋_GB2312" w:hAnsi="仿宋_GB2312" w:eastAsia="仿宋_GB2312" w:cs="仿宋_GB2312"/>
          <w:b/>
          <w:szCs w:val="21"/>
        </w:rPr>
        <w:t>十一、乙方的陈述和保证</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1、乙方已对拟竞价标的进行了现场看样，根据自己的判断做出了充分的了解和价值判断。乙方是在完全了解与该竞价标的有关的一切信息后，自愿参加竞价的，由此产生的一切后果由乙方承担。</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2、乙方参加拟竞价标的竞价，提供的所有背景资料，公允地揭示了乙方的基本情况并符合本次竞价所要求的参加竞价的条件，所有资料真实有效，且未作任何虚假陈述或隐瞒。并无条件接受相关单位(包括但不仅限于政府部门、委托人等)对其背景资料的审查结果，不对该结果提出任何形式的抗辩。</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3、乙方提供的所有资料真实有效，倘若乙方提供的资料弄虚作假(包括但不仅限于提供虚假身份证明或营业执照、伪造委托书、伪造签名、不亲自登录系统应价等)、不实或引起重大误解或有隐瞒，无论乙方是否故意，均自行承担以下可能发生的后果或承担以下相关责任(包括全部、部分或任一)：</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1)乙方竞价成功并成为拟竞价标的最终中标人，但被有权机构拒绝办理前述标的的移交手续的；</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2)被取消竞价人或最终中标人资格，或最终中标人资格不被确认或确认后被撤消的；</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3)代理人有权不予返还竞价保证金或履约保证金；</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4)竞价保证金外的已付款项，代理人有权要求用于赔偿各种损失(包括因乙方背信违约，导致债务迟延而增加的债务金额，以及前述标的竞价的各项运作费用等)；</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5)代理人或其它相关方有权取消乙方最终中标人资格，前述标的重新交付竞价，代理人或其它有权机关还有权要求赔偿两次竞价之间的差价；</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6)因诉诸法律而发生的所有费用；</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7)因背信违约，竞价委托人、资产所有人、代理人主张的其它权利导致的责任；</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4、乙方或授权代理人确认，在本协议书签订之前，已经充分了解竞价标的物的有关情况，对竞价规则已理解并接受。同时，乙方或授权代理人确认，在竞价会召开之前对所参加竞价标的现状等已作充分了解。</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6、在本协议签订之前，甲方已向乙方或授权委托人详实告知标的各种情况，并已对标的物的现状，以及可能存在的其它风险作了重点提示。鉴于此，乙方声明，放弃包括以重大误解或显失公平为由，向甲方提出的诉讼和索赔请求。</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7、以上陈述和保证均系乙方的真实意思表示。乙方保证将严格遵守本协议书第十条《甲方的提示和说明》内的所有条款，若乙方违反本协议书任何条款的约定，乙方自愿放弃追回已缴纳的竞价保证金，并不以任何理由对甲方提起诉讼。但甲方可以就乙方的违约行为向甲方所在地的人民法院提起诉讼，乙方同时承诺，自愿承担甲方因诉诸法律而发生的所有诉讼费、律师费、差旅费、误工费等一切费用。</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8、竞价成交后乙方与甲方签订的《成交结果确认书》与本《竞价协议书》具有同等法律效力。</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9、若该标的被委托人依法撤销竞价或有关权利部门执行回转，乙方应无条件服从和积极配合。</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十二、违约责任</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1、在竞价成交后，乙方未按本协议约定签署《成交结果确认书》及《房屋租赁合同》的视为违约，竞价保证金不予退还。</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2、如果乙方未按照第八条的规定支付成交价款的，乙方违约。如委托人同意乙方继续履行付款义务的，每迟延一日付款，乙方应向委托人支付应付款项的千分之三作为滞纳金；如委托人拒绝乙方继续履行付款义务的，乙方所交竞价保证金不予退还。</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3、如果乙方未按照第八条的规定支付竞价佣金的，乙方违约。每迟延一日付款，乙方应向甲方支付应付款项的千分之三作为滞纳金。在竞价佣金全部付清前，不退还留存甲方的履约保证金。</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4、乙方违反其在竞价活动中所做的陈述与保证、承诺或其他义务，或其在本次竞价活动中所做的有关陈述与保证是不真实、不准确或存在重大遗漏的，甲方有权通知乙方在通知指定期限内予以补正，并要求乙方赔偿甲方及委托人因此遭受的实际损失；或者甲方有权解除本合同，甲方解除本合同的，乙方支付的竞价保证金(成交后为履约保证金)不予返还，前述保证金不足以弥补甲方及委托人因此遭受的实际损失的，最终中标人还应当补偿该等实际损失。</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bCs/>
          <w:szCs w:val="21"/>
        </w:rPr>
      </w:pPr>
      <w:r>
        <w:rPr>
          <w:rFonts w:hint="eastAsia" w:ascii="仿宋_GB2312" w:hAnsi="仿宋_GB2312" w:eastAsia="仿宋_GB2312" w:cs="仿宋_GB2312"/>
          <w:bCs/>
          <w:szCs w:val="21"/>
        </w:rPr>
        <w:t>若乙方违反本协议书任何条款的约定，乙方自愿放弃已缴纳的竞价保证金，并不以任何理由对甲方提起诉讼。因乙方违约，甲方可以就乙方的违约行为向甲方所在地的人民法院提起诉讼，乙方须承担甲方因诉诸法律而发生的所有诉讼费、律师费、差旅费、误工费及给甲方和委托方造成的损失等一切费用。</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十三、保密责任</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甲乙双方应对在竞价程序中知悉的对方商业秘密予以保密。</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十四、标的撤回</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甲方是中介代理机构，如竞价前委托人撤回委托的，甲、乙双方均应无条件服从，互不承担违约责任，甲乙双方并放弃向委托人索赔或主张其他权利。</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十五、法律适用与争议解决</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本合同的签订、成立、效力、解释、履行等事宜均适用中国法律。</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因本合同及本次竞价活动引起或与本合同及本次竞价活动有关的一切争议，双方均应友好协商解决；如不能解决的，任何一方均应向甲方住所地有管辖权的人民法院提起诉讼。</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如果本合同的某条款被宣布为无效，应不影响本合同任何其他条款的效力。</w:t>
      </w:r>
    </w:p>
    <w:p>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十六、合同的生效</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本合同经甲、乙双方签章起生效。</w:t>
      </w:r>
    </w:p>
    <w:p>
      <w:pPr>
        <w:keepNext w:val="0"/>
        <w:keepLines w:val="0"/>
        <w:pageBreakBefore w:val="0"/>
        <w:widowControl w:val="0"/>
        <w:kinsoku/>
        <w:wordWrap/>
        <w:overflowPunct/>
        <w:topLinePunct w:val="0"/>
        <w:bidi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房屋租赁合同（商业）样稿》作为本协议的附件为本协议不可分割的一部分，与本合同具有同等效力。《房屋租赁合同（商业）样稿》及相关书面文件是甲方与乙方之间权利义务的重要内容，为本协议的重要组成部分，本协议未尽事宜应按该《房屋租赁合同（商业）样稿》执行。</w:t>
      </w:r>
    </w:p>
    <w:p>
      <w:pPr>
        <w:keepNext w:val="0"/>
        <w:keepLines w:val="0"/>
        <w:pageBreakBefore w:val="0"/>
        <w:widowControl w:val="0"/>
        <w:kinsoku/>
        <w:wordWrap/>
        <w:overflowPunct/>
        <w:topLinePunct w:val="0"/>
        <w:bidi w:val="0"/>
        <w:spacing w:line="360" w:lineRule="exact"/>
        <w:ind w:firstLine="420" w:firstLineChars="200"/>
        <w:textAlignment w:val="auto"/>
        <w:rPr>
          <w:rFonts w:hint="eastAsia" w:ascii="仿宋_GB2312" w:hAnsi="仿宋_GB2312" w:eastAsia="仿宋_GB2312" w:cs="仿宋_GB2312"/>
          <w:color w:val="000000" w:themeColor="text1"/>
          <w:szCs w:val="21"/>
          <w14:textFill>
            <w14:solidFill>
              <w14:schemeClr w14:val="tx1"/>
            </w14:solidFill>
          </w14:textFill>
        </w:rPr>
      </w:pPr>
      <w:r>
        <w:rPr>
          <w:rFonts w:hint="eastAsia" w:ascii="仿宋_GB2312" w:hAnsi="仿宋_GB2312" w:eastAsia="仿宋_GB2312" w:cs="仿宋_GB2312"/>
          <w:color w:val="000000" w:themeColor="text1"/>
          <w:szCs w:val="21"/>
          <w14:textFill>
            <w14:solidFill>
              <w14:schemeClr w14:val="tx1"/>
            </w14:solidFill>
          </w14:textFill>
        </w:rPr>
        <w:t>如有未尽事宜，双方可以签订补充协议。</w:t>
      </w:r>
    </w:p>
    <w:p>
      <w:pPr>
        <w:autoSpaceDE w:val="0"/>
        <w:autoSpaceDN w:val="0"/>
        <w:adjustRightInd w:val="0"/>
        <w:snapToGrid w:val="0"/>
        <w:spacing w:line="276" w:lineRule="exact"/>
        <w:ind w:firstLine="422" w:firstLineChars="200"/>
        <w:rPr>
          <w:rFonts w:hint="eastAsia" w:ascii="仿宋_GB2312" w:hAnsi="仿宋_GB2312" w:eastAsia="仿宋_GB2312" w:cs="仿宋_GB2312"/>
          <w:b/>
          <w:szCs w:val="21"/>
        </w:rPr>
      </w:pPr>
    </w:p>
    <w:p>
      <w:pPr>
        <w:autoSpaceDE w:val="0"/>
        <w:autoSpaceDN w:val="0"/>
        <w:adjustRightInd w:val="0"/>
        <w:snapToGrid w:val="0"/>
        <w:spacing w:line="276" w:lineRule="exact"/>
        <w:ind w:firstLine="422" w:firstLineChars="200"/>
        <w:rPr>
          <w:rFonts w:hint="eastAsia" w:ascii="仿宋_GB2312" w:hAnsi="仿宋_GB2312" w:eastAsia="仿宋_GB2312" w:cs="仿宋_GB2312"/>
          <w:b/>
          <w:szCs w:val="21"/>
        </w:rPr>
      </w:pPr>
    </w:p>
    <w:p>
      <w:pPr>
        <w:autoSpaceDE w:val="0"/>
        <w:autoSpaceDN w:val="0"/>
        <w:adjustRightInd w:val="0"/>
        <w:snapToGrid w:val="0"/>
        <w:spacing w:line="276" w:lineRule="exact"/>
        <w:ind w:firstLine="422" w:firstLineChars="200"/>
        <w:rPr>
          <w:rFonts w:hint="eastAsia" w:ascii="仿宋_GB2312" w:hAnsi="仿宋_GB2312" w:eastAsia="仿宋_GB2312" w:cs="仿宋_GB2312"/>
          <w:b/>
          <w:szCs w:val="21"/>
        </w:rPr>
      </w:pPr>
      <w:bookmarkStart w:id="0" w:name="_GoBack"/>
      <w:bookmarkEnd w:id="0"/>
    </w:p>
    <w:p>
      <w:pPr>
        <w:autoSpaceDE w:val="0"/>
        <w:autoSpaceDN w:val="0"/>
        <w:adjustRightInd w:val="0"/>
        <w:snapToGrid w:val="0"/>
        <w:spacing w:line="276" w:lineRule="exact"/>
        <w:ind w:firstLine="422" w:firstLineChars="200"/>
        <w:rPr>
          <w:rFonts w:hint="eastAsia" w:ascii="仿宋_GB2312" w:hAnsi="仿宋_GB2312" w:eastAsia="仿宋_GB2312" w:cs="仿宋_GB2312"/>
          <w:b/>
          <w:szCs w:val="21"/>
        </w:rPr>
      </w:pPr>
    </w:p>
    <w:p>
      <w:pPr>
        <w:autoSpaceDE w:val="0"/>
        <w:autoSpaceDN w:val="0"/>
        <w:adjustRightInd w:val="0"/>
        <w:snapToGrid w:val="0"/>
        <w:spacing w:line="276" w:lineRule="exact"/>
        <w:ind w:firstLine="422" w:firstLineChars="200"/>
        <w:rPr>
          <w:rFonts w:hint="eastAsia" w:ascii="仿宋_GB2312" w:hAnsi="仿宋_GB2312" w:eastAsia="仿宋_GB2312" w:cs="仿宋_GB2312"/>
          <w:b/>
          <w:szCs w:val="21"/>
        </w:rPr>
      </w:pPr>
      <w:r>
        <w:rPr>
          <w:rFonts w:hint="eastAsia" w:ascii="仿宋_GB2312" w:hAnsi="仿宋_GB2312" w:eastAsia="仿宋_GB2312" w:cs="仿宋_GB2312"/>
          <w:b/>
          <w:szCs w:val="21"/>
        </w:rPr>
        <w:t>附件1《竞价清单》</w:t>
      </w:r>
    </w:p>
    <w:p>
      <w:pPr>
        <w:autoSpaceDE w:val="0"/>
        <w:autoSpaceDN w:val="0"/>
        <w:adjustRightInd w:val="0"/>
        <w:snapToGrid w:val="0"/>
        <w:spacing w:line="276" w:lineRule="exact"/>
        <w:ind w:firstLine="422" w:firstLineChars="200"/>
        <w:rPr>
          <w:rFonts w:hint="eastAsia" w:ascii="仿宋_GB2312" w:hAnsi="仿宋_GB2312" w:eastAsia="仿宋_GB2312" w:cs="仿宋_GB2312"/>
          <w:b/>
          <w:szCs w:val="21"/>
        </w:rPr>
      </w:pPr>
      <w:r>
        <w:rPr>
          <w:rFonts w:hint="eastAsia" w:ascii="仿宋_GB2312" w:hAnsi="仿宋_GB2312" w:eastAsia="仿宋_GB2312" w:cs="仿宋_GB2312"/>
          <w:b/>
          <w:szCs w:val="21"/>
        </w:rPr>
        <w:t>附件2《房屋租赁合同样稿（商业)》</w:t>
      </w:r>
    </w:p>
    <w:p>
      <w:pPr>
        <w:autoSpaceDE w:val="0"/>
        <w:autoSpaceDN w:val="0"/>
        <w:adjustRightInd w:val="0"/>
        <w:snapToGrid w:val="0"/>
        <w:spacing w:line="280" w:lineRule="exact"/>
        <w:ind w:firstLine="422" w:firstLineChars="200"/>
        <w:jc w:val="left"/>
        <w:rPr>
          <w:rFonts w:hint="eastAsia" w:ascii="仿宋_GB2312" w:hAnsi="仿宋_GB2312" w:eastAsia="仿宋_GB2312" w:cs="仿宋_GB2312"/>
          <w:b/>
          <w:color w:val="000000" w:themeColor="text1"/>
          <w:szCs w:val="21"/>
          <w:lang w:val="en-US" w:eastAsia="zh-CN"/>
          <w14:textFill>
            <w14:solidFill>
              <w14:schemeClr w14:val="tx1"/>
            </w14:solidFill>
          </w14:textFill>
        </w:rPr>
      </w:pPr>
      <w:r>
        <w:rPr>
          <w:rFonts w:hint="eastAsia" w:ascii="仿宋_GB2312" w:hAnsi="仿宋_GB2312" w:eastAsia="仿宋_GB2312" w:cs="仿宋_GB2312"/>
          <w:b/>
          <w:color w:val="000000" w:themeColor="text1"/>
          <w:szCs w:val="21"/>
          <w:lang w:val="en-US" w:eastAsia="zh-CN"/>
          <w14:textFill>
            <w14:solidFill>
              <w14:schemeClr w14:val="tx1"/>
            </w14:solidFill>
          </w14:textFill>
        </w:rPr>
        <w:t>附件3《商户信用管理办法（试行）》</w:t>
      </w:r>
    </w:p>
    <w:p>
      <w:pPr>
        <w:autoSpaceDE w:val="0"/>
        <w:autoSpaceDN w:val="0"/>
        <w:adjustRightInd w:val="0"/>
        <w:snapToGrid w:val="0"/>
        <w:spacing w:line="280" w:lineRule="exact"/>
        <w:ind w:firstLine="422" w:firstLineChars="200"/>
        <w:jc w:val="left"/>
        <w:rPr>
          <w:rFonts w:hint="eastAsia" w:ascii="仿宋_GB2312" w:hAnsi="仿宋_GB2312" w:eastAsia="仿宋_GB2312" w:cs="仿宋_GB2312"/>
          <w:b/>
          <w:color w:val="000000" w:themeColor="text1"/>
          <w:szCs w:val="21"/>
          <w14:textFill>
            <w14:solidFill>
              <w14:schemeClr w14:val="tx1"/>
            </w14:solidFill>
          </w14:textFill>
        </w:rPr>
      </w:pPr>
    </w:p>
    <w:p>
      <w:pPr>
        <w:autoSpaceDE w:val="0"/>
        <w:autoSpaceDN w:val="0"/>
        <w:adjustRightInd w:val="0"/>
        <w:snapToGrid w:val="0"/>
        <w:spacing w:line="280" w:lineRule="exact"/>
        <w:ind w:firstLine="422" w:firstLineChars="200"/>
        <w:jc w:val="left"/>
        <w:rPr>
          <w:rFonts w:hint="eastAsia" w:ascii="仿宋_GB2312" w:hAnsi="仿宋_GB2312" w:eastAsia="仿宋_GB2312" w:cs="仿宋_GB2312"/>
          <w:b/>
          <w:color w:val="000000" w:themeColor="text1"/>
          <w:szCs w:val="21"/>
          <w14:textFill>
            <w14:solidFill>
              <w14:schemeClr w14:val="tx1"/>
            </w14:solidFill>
          </w14:textFill>
        </w:rPr>
      </w:pPr>
    </w:p>
    <w:p>
      <w:pPr>
        <w:autoSpaceDE w:val="0"/>
        <w:autoSpaceDN w:val="0"/>
        <w:adjustRightInd w:val="0"/>
        <w:snapToGrid w:val="0"/>
        <w:spacing w:line="280" w:lineRule="exact"/>
        <w:ind w:firstLine="422" w:firstLineChars="200"/>
        <w:jc w:val="left"/>
        <w:rPr>
          <w:rFonts w:hint="eastAsia" w:ascii="仿宋_GB2312" w:hAnsi="仿宋_GB2312" w:eastAsia="仿宋_GB2312" w:cs="仿宋_GB2312"/>
          <w:b/>
          <w:color w:val="000000" w:themeColor="text1"/>
          <w:szCs w:val="21"/>
          <w14:textFill>
            <w14:solidFill>
              <w14:schemeClr w14:val="tx1"/>
            </w14:solidFill>
          </w14:textFill>
        </w:rPr>
      </w:pPr>
    </w:p>
    <w:p>
      <w:pPr>
        <w:autoSpaceDE w:val="0"/>
        <w:autoSpaceDN w:val="0"/>
        <w:adjustRightInd w:val="0"/>
        <w:snapToGrid w:val="0"/>
        <w:spacing w:line="280" w:lineRule="exact"/>
        <w:ind w:firstLine="422" w:firstLineChars="200"/>
        <w:jc w:val="left"/>
        <w:rPr>
          <w:rFonts w:hint="eastAsia" w:ascii="仿宋_GB2312" w:hAnsi="仿宋_GB2312" w:eastAsia="仿宋_GB2312" w:cs="仿宋_GB2312"/>
          <w:b/>
          <w:color w:val="000000" w:themeColor="text1"/>
          <w:szCs w:val="21"/>
          <w14:textFill>
            <w14:solidFill>
              <w14:schemeClr w14:val="tx1"/>
            </w14:solidFill>
          </w14:textFill>
        </w:rPr>
      </w:pPr>
    </w:p>
    <w:p>
      <w:pPr>
        <w:autoSpaceDE w:val="0"/>
        <w:autoSpaceDN w:val="0"/>
        <w:adjustRightInd w:val="0"/>
        <w:snapToGrid w:val="0"/>
        <w:spacing w:line="280" w:lineRule="exact"/>
        <w:jc w:val="left"/>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代理人(甲方)：厦门嘉</w:t>
      </w:r>
      <w:r>
        <w:rPr>
          <w:rFonts w:hint="eastAsia" w:ascii="仿宋_GB2312" w:hAnsi="仿宋_GB2312" w:eastAsia="仿宋_GB2312" w:cs="仿宋_GB2312"/>
          <w:b/>
          <w:color w:val="000000" w:themeColor="text1"/>
          <w:szCs w:val="21"/>
          <w:lang w:val="en-US" w:eastAsia="zh-CN"/>
          <w14:textFill>
            <w14:solidFill>
              <w14:schemeClr w14:val="tx1"/>
            </w14:solidFill>
          </w14:textFill>
        </w:rPr>
        <w:t>禾</w:t>
      </w:r>
      <w:r>
        <w:rPr>
          <w:rFonts w:hint="eastAsia" w:ascii="仿宋_GB2312" w:hAnsi="仿宋_GB2312" w:eastAsia="仿宋_GB2312" w:cs="仿宋_GB2312"/>
          <w:b/>
          <w:color w:val="000000" w:themeColor="text1"/>
          <w:szCs w:val="21"/>
          <w14:textFill>
            <w14:solidFill>
              <w14:schemeClr w14:val="tx1"/>
            </w14:solidFill>
          </w14:textFill>
        </w:rPr>
        <w:t>拍卖有限公司                   竞价人(乙方)：</w:t>
      </w:r>
    </w:p>
    <w:p>
      <w:pPr>
        <w:autoSpaceDE w:val="0"/>
        <w:autoSpaceDN w:val="0"/>
        <w:adjustRightInd w:val="0"/>
        <w:snapToGrid w:val="0"/>
        <w:spacing w:line="280" w:lineRule="exact"/>
        <w:ind w:firstLine="4006" w:firstLineChars="1900"/>
        <w:jc w:val="left"/>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 xml:space="preserve">　　　　  </w:t>
      </w:r>
    </w:p>
    <w:p>
      <w:pPr>
        <w:autoSpaceDE w:val="0"/>
        <w:autoSpaceDN w:val="0"/>
        <w:adjustRightInd w:val="0"/>
        <w:snapToGrid w:val="0"/>
        <w:spacing w:line="280" w:lineRule="exact"/>
        <w:ind w:firstLine="5633" w:firstLineChars="2672"/>
        <w:jc w:val="left"/>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受 托 人：</w:t>
      </w:r>
    </w:p>
    <w:p>
      <w:pPr>
        <w:autoSpaceDE w:val="0"/>
        <w:autoSpaceDN w:val="0"/>
        <w:adjustRightInd w:val="0"/>
        <w:snapToGrid w:val="0"/>
        <w:spacing w:line="280" w:lineRule="exact"/>
        <w:ind w:firstLine="4006" w:firstLineChars="1900"/>
        <w:jc w:val="left"/>
        <w:rPr>
          <w:rFonts w:hint="eastAsia" w:ascii="仿宋_GB2312" w:hAnsi="仿宋_GB2312" w:eastAsia="仿宋_GB2312" w:cs="仿宋_GB2312"/>
          <w:b/>
          <w:color w:val="000000" w:themeColor="text1"/>
          <w:szCs w:val="21"/>
          <w14:textFill>
            <w14:solidFill>
              <w14:schemeClr w14:val="tx1"/>
            </w14:solidFill>
          </w14:textFill>
        </w:rPr>
      </w:pPr>
    </w:p>
    <w:p>
      <w:pPr>
        <w:autoSpaceDE w:val="0"/>
        <w:autoSpaceDN w:val="0"/>
        <w:adjustRightInd w:val="0"/>
        <w:snapToGrid w:val="0"/>
        <w:spacing w:line="280" w:lineRule="exact"/>
        <w:ind w:firstLine="1254" w:firstLineChars="595"/>
        <w:jc w:val="left"/>
        <w:rPr>
          <w:rFonts w:hint="eastAsia" w:ascii="仿宋_GB2312" w:hAnsi="仿宋_GB2312" w:eastAsia="仿宋_GB2312" w:cs="仿宋_GB2312"/>
          <w:b/>
          <w:color w:val="000000" w:themeColor="text1"/>
          <w:szCs w:val="21"/>
          <w14:textFill>
            <w14:solidFill>
              <w14:schemeClr w14:val="tx1"/>
            </w14:solidFill>
          </w14:textFill>
        </w:rPr>
      </w:pPr>
      <w:r>
        <w:rPr>
          <w:rFonts w:hint="eastAsia" w:ascii="仿宋_GB2312" w:hAnsi="仿宋_GB2312" w:eastAsia="仿宋_GB2312" w:cs="仿宋_GB2312"/>
          <w:b/>
          <w:color w:val="000000" w:themeColor="text1"/>
          <w:szCs w:val="21"/>
          <w14:textFill>
            <w14:solidFill>
              <w14:schemeClr w14:val="tx1"/>
            </w14:solidFill>
          </w14:textFill>
        </w:rPr>
        <w:t>年   月   日                                 年   月   日</w:t>
      </w:r>
    </w:p>
    <w:p>
      <w:pPr>
        <w:autoSpaceDE w:val="0"/>
        <w:autoSpaceDN w:val="0"/>
        <w:adjustRightInd w:val="0"/>
        <w:snapToGrid w:val="0"/>
        <w:spacing w:line="280" w:lineRule="exact"/>
        <w:ind w:firstLine="1254" w:firstLineChars="595"/>
        <w:jc w:val="left"/>
        <w:rPr>
          <w:rFonts w:cs="仿宋_GB2312" w:asciiTheme="minorEastAsia" w:hAnsiTheme="minorEastAsia" w:eastAsiaTheme="minorEastAsia"/>
          <w:b/>
          <w:color w:val="000000" w:themeColor="text1"/>
          <w:szCs w:val="21"/>
          <w14:textFill>
            <w14:solidFill>
              <w14:schemeClr w14:val="tx1"/>
            </w14:solidFill>
          </w14:textFill>
        </w:rPr>
      </w:pPr>
    </w:p>
    <w:sectPr>
      <w:footerReference r:id="rId3" w:type="default"/>
      <w:pgSz w:w="11906" w:h="16838"/>
      <w:pgMar w:top="1021" w:right="907" w:bottom="851" w:left="1134" w:header="567"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6738631"/>
    </w:sdtPr>
    <w:sdtContent>
      <w:sdt>
        <w:sdtPr>
          <w:id w:val="-1669238322"/>
        </w:sdtPr>
        <w:sdtContent>
          <w:p>
            <w:pPr>
              <w:pStyle w:val="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RmMzk1NGRjY2JmYmM5YjE3NDY2Njc1OGYxZGIzNGYifQ=="/>
    <w:docVar w:name="KSO_WPS_MARK_KEY" w:val="83ef20c8-4a4e-4b53-a0b6-33a4bd9d17ab"/>
  </w:docVars>
  <w:rsids>
    <w:rsidRoot w:val="00077A3C"/>
    <w:rsid w:val="00002DA2"/>
    <w:rsid w:val="00005931"/>
    <w:rsid w:val="00013F1F"/>
    <w:rsid w:val="00015FCE"/>
    <w:rsid w:val="00030D67"/>
    <w:rsid w:val="00031894"/>
    <w:rsid w:val="000326C5"/>
    <w:rsid w:val="00077A3C"/>
    <w:rsid w:val="00077F7A"/>
    <w:rsid w:val="0008274F"/>
    <w:rsid w:val="0008333C"/>
    <w:rsid w:val="000916B0"/>
    <w:rsid w:val="00092BE0"/>
    <w:rsid w:val="000B2DB4"/>
    <w:rsid w:val="000B75E2"/>
    <w:rsid w:val="000D5783"/>
    <w:rsid w:val="000D6B12"/>
    <w:rsid w:val="000E0F97"/>
    <w:rsid w:val="000E186E"/>
    <w:rsid w:val="000E61C1"/>
    <w:rsid w:val="000F3A8C"/>
    <w:rsid w:val="001012D6"/>
    <w:rsid w:val="0011057D"/>
    <w:rsid w:val="00116FF7"/>
    <w:rsid w:val="001236A9"/>
    <w:rsid w:val="001325ED"/>
    <w:rsid w:val="00150AAB"/>
    <w:rsid w:val="00152038"/>
    <w:rsid w:val="00156085"/>
    <w:rsid w:val="00173EEB"/>
    <w:rsid w:val="001936DA"/>
    <w:rsid w:val="00194DD6"/>
    <w:rsid w:val="001A4EFA"/>
    <w:rsid w:val="001B75FB"/>
    <w:rsid w:val="001C251E"/>
    <w:rsid w:val="001C374C"/>
    <w:rsid w:val="001D5EB7"/>
    <w:rsid w:val="001E1768"/>
    <w:rsid w:val="001E22A9"/>
    <w:rsid w:val="001E2A57"/>
    <w:rsid w:val="001E3CC4"/>
    <w:rsid w:val="001F05CA"/>
    <w:rsid w:val="001F57D4"/>
    <w:rsid w:val="0021734F"/>
    <w:rsid w:val="00224610"/>
    <w:rsid w:val="0022744B"/>
    <w:rsid w:val="00230D1A"/>
    <w:rsid w:val="00235B58"/>
    <w:rsid w:val="00244C32"/>
    <w:rsid w:val="002614CB"/>
    <w:rsid w:val="00273A95"/>
    <w:rsid w:val="002740CA"/>
    <w:rsid w:val="00294153"/>
    <w:rsid w:val="002A1EFA"/>
    <w:rsid w:val="002A6B4D"/>
    <w:rsid w:val="002C2969"/>
    <w:rsid w:val="002C4149"/>
    <w:rsid w:val="002D4BEB"/>
    <w:rsid w:val="002D5389"/>
    <w:rsid w:val="002D6174"/>
    <w:rsid w:val="002F3041"/>
    <w:rsid w:val="00313825"/>
    <w:rsid w:val="003166E5"/>
    <w:rsid w:val="003168D5"/>
    <w:rsid w:val="00327CB5"/>
    <w:rsid w:val="0033259A"/>
    <w:rsid w:val="00335A14"/>
    <w:rsid w:val="0033684F"/>
    <w:rsid w:val="003457D7"/>
    <w:rsid w:val="00351FC5"/>
    <w:rsid w:val="00357FD7"/>
    <w:rsid w:val="00362047"/>
    <w:rsid w:val="003842A4"/>
    <w:rsid w:val="00392D4B"/>
    <w:rsid w:val="003A329E"/>
    <w:rsid w:val="003A3D42"/>
    <w:rsid w:val="003A586D"/>
    <w:rsid w:val="003C0591"/>
    <w:rsid w:val="003D48B6"/>
    <w:rsid w:val="003F7915"/>
    <w:rsid w:val="0040571F"/>
    <w:rsid w:val="0041259C"/>
    <w:rsid w:val="00422248"/>
    <w:rsid w:val="00424E3A"/>
    <w:rsid w:val="00431AC1"/>
    <w:rsid w:val="004333E8"/>
    <w:rsid w:val="00446F94"/>
    <w:rsid w:val="00447DD4"/>
    <w:rsid w:val="0045638D"/>
    <w:rsid w:val="00476120"/>
    <w:rsid w:val="004803B1"/>
    <w:rsid w:val="004863B1"/>
    <w:rsid w:val="00493C1A"/>
    <w:rsid w:val="00495C04"/>
    <w:rsid w:val="00496F74"/>
    <w:rsid w:val="004A413B"/>
    <w:rsid w:val="004D1A20"/>
    <w:rsid w:val="004D6662"/>
    <w:rsid w:val="004D7B83"/>
    <w:rsid w:val="004E0E4D"/>
    <w:rsid w:val="004E1E25"/>
    <w:rsid w:val="00510478"/>
    <w:rsid w:val="00531AD9"/>
    <w:rsid w:val="0053509E"/>
    <w:rsid w:val="005463F1"/>
    <w:rsid w:val="005468AB"/>
    <w:rsid w:val="00552640"/>
    <w:rsid w:val="00561391"/>
    <w:rsid w:val="005858F6"/>
    <w:rsid w:val="0058680E"/>
    <w:rsid w:val="00591490"/>
    <w:rsid w:val="00593D7F"/>
    <w:rsid w:val="005A13B7"/>
    <w:rsid w:val="005A3E62"/>
    <w:rsid w:val="005A68AF"/>
    <w:rsid w:val="005B0765"/>
    <w:rsid w:val="005B1B0A"/>
    <w:rsid w:val="005D2160"/>
    <w:rsid w:val="006011B4"/>
    <w:rsid w:val="00602F04"/>
    <w:rsid w:val="006036FE"/>
    <w:rsid w:val="00604726"/>
    <w:rsid w:val="00617415"/>
    <w:rsid w:val="0062167F"/>
    <w:rsid w:val="00631415"/>
    <w:rsid w:val="00633047"/>
    <w:rsid w:val="006C199E"/>
    <w:rsid w:val="006C61E5"/>
    <w:rsid w:val="006C6348"/>
    <w:rsid w:val="006C7D0C"/>
    <w:rsid w:val="006D41B8"/>
    <w:rsid w:val="006F2D4C"/>
    <w:rsid w:val="007069BD"/>
    <w:rsid w:val="0071280C"/>
    <w:rsid w:val="00712B8E"/>
    <w:rsid w:val="0072213C"/>
    <w:rsid w:val="00727A8D"/>
    <w:rsid w:val="00735AF6"/>
    <w:rsid w:val="0074037B"/>
    <w:rsid w:val="007449AE"/>
    <w:rsid w:val="007467EF"/>
    <w:rsid w:val="00754A2B"/>
    <w:rsid w:val="00771136"/>
    <w:rsid w:val="007712EE"/>
    <w:rsid w:val="00772D8E"/>
    <w:rsid w:val="00774B2B"/>
    <w:rsid w:val="0077689B"/>
    <w:rsid w:val="00783188"/>
    <w:rsid w:val="00793CC3"/>
    <w:rsid w:val="007A261C"/>
    <w:rsid w:val="007A6870"/>
    <w:rsid w:val="007B44E3"/>
    <w:rsid w:val="007B7D38"/>
    <w:rsid w:val="007C7C0D"/>
    <w:rsid w:val="007D0AEE"/>
    <w:rsid w:val="007D4B1E"/>
    <w:rsid w:val="007F61E6"/>
    <w:rsid w:val="00810D96"/>
    <w:rsid w:val="00820441"/>
    <w:rsid w:val="00822B44"/>
    <w:rsid w:val="00825BDD"/>
    <w:rsid w:val="00830981"/>
    <w:rsid w:val="00834769"/>
    <w:rsid w:val="008530DA"/>
    <w:rsid w:val="0089304F"/>
    <w:rsid w:val="008A6D9F"/>
    <w:rsid w:val="008B21EC"/>
    <w:rsid w:val="008B2FB5"/>
    <w:rsid w:val="008B7FB9"/>
    <w:rsid w:val="008D0FD5"/>
    <w:rsid w:val="008E71CD"/>
    <w:rsid w:val="009208B1"/>
    <w:rsid w:val="009210E6"/>
    <w:rsid w:val="00925D2C"/>
    <w:rsid w:val="00950AB3"/>
    <w:rsid w:val="009615A9"/>
    <w:rsid w:val="00962870"/>
    <w:rsid w:val="0097024B"/>
    <w:rsid w:val="00977878"/>
    <w:rsid w:val="00982FBF"/>
    <w:rsid w:val="00983106"/>
    <w:rsid w:val="009848FC"/>
    <w:rsid w:val="00993857"/>
    <w:rsid w:val="00997AC1"/>
    <w:rsid w:val="009A23D4"/>
    <w:rsid w:val="009C3D88"/>
    <w:rsid w:val="009C7D5E"/>
    <w:rsid w:val="009E2375"/>
    <w:rsid w:val="009E3267"/>
    <w:rsid w:val="009E3D27"/>
    <w:rsid w:val="00A03765"/>
    <w:rsid w:val="00A0645E"/>
    <w:rsid w:val="00A10D69"/>
    <w:rsid w:val="00A17B88"/>
    <w:rsid w:val="00A20536"/>
    <w:rsid w:val="00A4192D"/>
    <w:rsid w:val="00A45E95"/>
    <w:rsid w:val="00A57267"/>
    <w:rsid w:val="00A64F59"/>
    <w:rsid w:val="00A658F4"/>
    <w:rsid w:val="00A67218"/>
    <w:rsid w:val="00A72DA7"/>
    <w:rsid w:val="00A734C1"/>
    <w:rsid w:val="00A75414"/>
    <w:rsid w:val="00A83630"/>
    <w:rsid w:val="00A95598"/>
    <w:rsid w:val="00AD0C27"/>
    <w:rsid w:val="00AD1CE9"/>
    <w:rsid w:val="00AD5AB7"/>
    <w:rsid w:val="00AE1E58"/>
    <w:rsid w:val="00AE49CD"/>
    <w:rsid w:val="00B01443"/>
    <w:rsid w:val="00B06E4D"/>
    <w:rsid w:val="00B17B0D"/>
    <w:rsid w:val="00B223C5"/>
    <w:rsid w:val="00B22BD8"/>
    <w:rsid w:val="00B25796"/>
    <w:rsid w:val="00B25936"/>
    <w:rsid w:val="00B40A22"/>
    <w:rsid w:val="00B42DE4"/>
    <w:rsid w:val="00B526B1"/>
    <w:rsid w:val="00B55C6E"/>
    <w:rsid w:val="00B61294"/>
    <w:rsid w:val="00B61A7D"/>
    <w:rsid w:val="00B621F5"/>
    <w:rsid w:val="00B64015"/>
    <w:rsid w:val="00B677F8"/>
    <w:rsid w:val="00B81FC2"/>
    <w:rsid w:val="00B90E9C"/>
    <w:rsid w:val="00B95C7D"/>
    <w:rsid w:val="00BA0976"/>
    <w:rsid w:val="00BB5A2C"/>
    <w:rsid w:val="00BC0883"/>
    <w:rsid w:val="00C00435"/>
    <w:rsid w:val="00C21C31"/>
    <w:rsid w:val="00C24C79"/>
    <w:rsid w:val="00C37480"/>
    <w:rsid w:val="00C40E77"/>
    <w:rsid w:val="00C44671"/>
    <w:rsid w:val="00C65CEA"/>
    <w:rsid w:val="00C67BC0"/>
    <w:rsid w:val="00C7085C"/>
    <w:rsid w:val="00C711AA"/>
    <w:rsid w:val="00C80940"/>
    <w:rsid w:val="00C82B9D"/>
    <w:rsid w:val="00C841BD"/>
    <w:rsid w:val="00C94A33"/>
    <w:rsid w:val="00CA248F"/>
    <w:rsid w:val="00CA6D8E"/>
    <w:rsid w:val="00CB106D"/>
    <w:rsid w:val="00CC270C"/>
    <w:rsid w:val="00CC5D6E"/>
    <w:rsid w:val="00CC5EBB"/>
    <w:rsid w:val="00CD0C46"/>
    <w:rsid w:val="00CD6C17"/>
    <w:rsid w:val="00CE02A0"/>
    <w:rsid w:val="00CE2169"/>
    <w:rsid w:val="00CE4AEE"/>
    <w:rsid w:val="00CF5B42"/>
    <w:rsid w:val="00D0134D"/>
    <w:rsid w:val="00D0329F"/>
    <w:rsid w:val="00D115FF"/>
    <w:rsid w:val="00D2386A"/>
    <w:rsid w:val="00D27398"/>
    <w:rsid w:val="00D418AA"/>
    <w:rsid w:val="00D56A47"/>
    <w:rsid w:val="00D65B0C"/>
    <w:rsid w:val="00D87C49"/>
    <w:rsid w:val="00D91DD6"/>
    <w:rsid w:val="00DA4BE8"/>
    <w:rsid w:val="00DB20B4"/>
    <w:rsid w:val="00DC7624"/>
    <w:rsid w:val="00DD060C"/>
    <w:rsid w:val="00DD3B47"/>
    <w:rsid w:val="00DD7063"/>
    <w:rsid w:val="00E02280"/>
    <w:rsid w:val="00E10A68"/>
    <w:rsid w:val="00E2221C"/>
    <w:rsid w:val="00E22B52"/>
    <w:rsid w:val="00E267F3"/>
    <w:rsid w:val="00E444EB"/>
    <w:rsid w:val="00E5608C"/>
    <w:rsid w:val="00E5692E"/>
    <w:rsid w:val="00E646EF"/>
    <w:rsid w:val="00E91772"/>
    <w:rsid w:val="00E95896"/>
    <w:rsid w:val="00EA3A26"/>
    <w:rsid w:val="00EB2DB8"/>
    <w:rsid w:val="00EB453D"/>
    <w:rsid w:val="00ED50C6"/>
    <w:rsid w:val="00F071A2"/>
    <w:rsid w:val="00F10987"/>
    <w:rsid w:val="00F24379"/>
    <w:rsid w:val="00F25C68"/>
    <w:rsid w:val="00F46F02"/>
    <w:rsid w:val="00F618F7"/>
    <w:rsid w:val="00F6350E"/>
    <w:rsid w:val="00F702BB"/>
    <w:rsid w:val="00F7165F"/>
    <w:rsid w:val="00F75ECA"/>
    <w:rsid w:val="00F92E98"/>
    <w:rsid w:val="00F93C88"/>
    <w:rsid w:val="00FA42BC"/>
    <w:rsid w:val="00FA7825"/>
    <w:rsid w:val="00FC6764"/>
    <w:rsid w:val="00FD4082"/>
    <w:rsid w:val="00FE1671"/>
    <w:rsid w:val="00FF084A"/>
    <w:rsid w:val="00FF5830"/>
    <w:rsid w:val="030456BF"/>
    <w:rsid w:val="07CD0813"/>
    <w:rsid w:val="0E766697"/>
    <w:rsid w:val="1BC734CA"/>
    <w:rsid w:val="1CB96CFC"/>
    <w:rsid w:val="21F439CD"/>
    <w:rsid w:val="22F30F11"/>
    <w:rsid w:val="2A4A5C5F"/>
    <w:rsid w:val="2C2F1C6C"/>
    <w:rsid w:val="311F5A9C"/>
    <w:rsid w:val="39721145"/>
    <w:rsid w:val="3DCD07FC"/>
    <w:rsid w:val="49BE0B8A"/>
    <w:rsid w:val="4C59054A"/>
    <w:rsid w:val="6370665E"/>
    <w:rsid w:val="6A062725"/>
    <w:rsid w:val="70625E7D"/>
    <w:rsid w:val="7CFD726D"/>
    <w:rsid w:val="7F8733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3"/>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itle"/>
    <w:basedOn w:val="1"/>
    <w:next w:val="1"/>
    <w:link w:val="12"/>
    <w:qFormat/>
    <w:uiPriority w:val="99"/>
    <w:pPr>
      <w:spacing w:before="240" w:after="60"/>
      <w:jc w:val="center"/>
      <w:outlineLvl w:val="0"/>
    </w:pPr>
    <w:rPr>
      <w:rFonts w:ascii="Cambria" w:hAnsi="Cambria"/>
      <w:b/>
      <w:bCs/>
      <w:sz w:val="32"/>
      <w:szCs w:val="32"/>
    </w:rPr>
  </w:style>
  <w:style w:type="character" w:styleId="8">
    <w:name w:val="Hyperlink"/>
    <w:basedOn w:val="7"/>
    <w:unhideWhenUsed/>
    <w:qFormat/>
    <w:uiPriority w:val="99"/>
    <w:rPr>
      <w:color w:val="0000FF"/>
      <w:u w:val="single"/>
    </w:rPr>
  </w:style>
  <w:style w:type="character" w:customStyle="1" w:styleId="9">
    <w:name w:val="页眉 Char"/>
    <w:basedOn w:val="7"/>
    <w:link w:val="4"/>
    <w:qFormat/>
    <w:uiPriority w:val="99"/>
    <w:rPr>
      <w:sz w:val="18"/>
      <w:szCs w:val="18"/>
    </w:rPr>
  </w:style>
  <w:style w:type="character" w:customStyle="1" w:styleId="10">
    <w:name w:val="页脚 Char"/>
    <w:basedOn w:val="7"/>
    <w:link w:val="3"/>
    <w:qFormat/>
    <w:uiPriority w:val="99"/>
    <w:rPr>
      <w:sz w:val="18"/>
      <w:szCs w:val="18"/>
    </w:rPr>
  </w:style>
  <w:style w:type="paragraph" w:styleId="11">
    <w:name w:val="List Paragraph"/>
    <w:basedOn w:val="1"/>
    <w:qFormat/>
    <w:uiPriority w:val="99"/>
    <w:pPr>
      <w:ind w:firstLine="420" w:firstLineChars="200"/>
    </w:pPr>
  </w:style>
  <w:style w:type="character" w:customStyle="1" w:styleId="12">
    <w:name w:val="标题 Char"/>
    <w:basedOn w:val="7"/>
    <w:link w:val="5"/>
    <w:qFormat/>
    <w:uiPriority w:val="99"/>
    <w:rPr>
      <w:rFonts w:ascii="Cambria" w:hAnsi="Cambria" w:eastAsia="宋体" w:cs="Times New Roman"/>
      <w:b/>
      <w:bCs/>
      <w:kern w:val="2"/>
      <w:sz w:val="32"/>
      <w:szCs w:val="32"/>
    </w:rPr>
  </w:style>
  <w:style w:type="character" w:customStyle="1" w:styleId="13">
    <w:name w:val="批注框文本 Char"/>
    <w:basedOn w:val="7"/>
    <w:link w:val="2"/>
    <w:semiHidden/>
    <w:qFormat/>
    <w:uiPriority w:val="99"/>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F357B-5F65-479F-84DC-13D4345B3D3A}">
  <ds:schemaRefs/>
</ds:datastoreItem>
</file>

<file path=docProps/app.xml><?xml version="1.0" encoding="utf-8"?>
<Properties xmlns="http://schemas.openxmlformats.org/officeDocument/2006/extended-properties" xmlns:vt="http://schemas.openxmlformats.org/officeDocument/2006/docPropsVTypes">
  <Template>Normal</Template>
  <Company>1</Company>
  <Pages>8</Pages>
  <Words>12540</Words>
  <Characters>13035</Characters>
  <Lines>96</Lines>
  <Paragraphs>27</Paragraphs>
  <TotalTime>2</TotalTime>
  <ScaleCrop>false</ScaleCrop>
  <LinksUpToDate>false</LinksUpToDate>
  <CharactersWithSpaces>13264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2021-11-30T02:16:00Z</dcterms:created>
  <dc:creator>1</dc:creator>
  <cp:lastModifiedBy>WPS_1494981489</cp:lastModifiedBy>
  <cp:lastPrinted>2023-07-19T10:56:00Z</cp:lastPrinted>
  <dcterms:modified xsi:type="dcterms:W3CDTF">2024-03-27T08:20:58Z</dcterms:modified>
  <cp:revision>280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0610CD39EC154ECA82327ABE034FF060_13</vt:lpwstr>
  </property>
</Properties>
</file>